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282"/>
          <w:tab w:val="right" w:pos="9492"/>
          <w:tab w:val="clear" w:pos="4536"/>
          <w:tab w:val="clear" w:pos="9072"/>
        </w:tabs>
        <w:spacing w:before="0" w:beforeLines="0" w:after="0" w:afterLines="0"/>
        <w:rPr>
          <w:rFonts w:eastAsia="宋体" w:cs="Arial"/>
          <w:sz w:val="22"/>
          <w:szCs w:val="22"/>
          <w:lang w:eastAsia="zh-CN"/>
        </w:rPr>
      </w:pPr>
      <w:r>
        <w:rPr>
          <w:rFonts w:cs="Arial"/>
          <w:sz w:val="22"/>
          <w:szCs w:val="22"/>
        </w:rPr>
        <w:t>3GPP TSG RAN WG1 Meeting #1</w:t>
      </w:r>
      <w:r>
        <w:rPr>
          <w:rFonts w:eastAsia="宋体" w:cs="Arial"/>
          <w:sz w:val="22"/>
          <w:szCs w:val="22"/>
          <w:lang w:eastAsia="zh-CN"/>
        </w:rPr>
        <w:t>18</w:t>
      </w:r>
      <w:r>
        <w:rPr>
          <w:rFonts w:hint="eastAsia" w:eastAsia="宋体" w:cs="Arial"/>
          <w:sz w:val="22"/>
          <w:szCs w:val="22"/>
          <w:lang w:eastAsia="zh-CN"/>
        </w:rPr>
        <w:t>bis</w:t>
      </w:r>
      <w:r>
        <w:rPr>
          <w:rFonts w:eastAsia="宋体" w:cs="Arial"/>
          <w:sz w:val="22"/>
          <w:szCs w:val="22"/>
          <w:lang w:eastAsia="zh-CN"/>
        </w:rPr>
        <w:tab/>
      </w:r>
      <w:r>
        <w:rPr>
          <w:rFonts w:cs="Arial"/>
          <w:sz w:val="22"/>
          <w:szCs w:val="22"/>
          <w:lang w:eastAsia="ja-JP"/>
        </w:rPr>
        <w:t>R1-</w:t>
      </w:r>
      <w:r>
        <w:rPr>
          <w:rFonts w:eastAsia="宋体" w:cs="Arial"/>
          <w:sz w:val="22"/>
          <w:szCs w:val="22"/>
          <w:lang w:eastAsia="zh-CN"/>
        </w:rPr>
        <w:t>2407776</w:t>
      </w:r>
    </w:p>
    <w:p>
      <w:pPr>
        <w:adjustRightInd w:val="0"/>
        <w:spacing w:beforeAutospacing="0" w:after="180"/>
        <w:rPr>
          <w:rFonts w:ascii="Arial" w:hAnsi="Arial" w:eastAsia="宋体" w:cs="Arial"/>
          <w:b/>
          <w:sz w:val="22"/>
        </w:rPr>
      </w:pPr>
      <w:r>
        <w:rPr>
          <w:rFonts w:hint="eastAsia" w:ascii="Arial" w:hAnsi="Arial" w:eastAsia="宋体" w:cs="Arial"/>
          <w:b/>
          <w:sz w:val="22"/>
        </w:rPr>
        <w:t>Hefei</w:t>
      </w:r>
      <w:r>
        <w:rPr>
          <w:rFonts w:ascii="Arial" w:hAnsi="Arial" w:eastAsia="宋体" w:cs="Arial"/>
          <w:b/>
          <w:sz w:val="22"/>
        </w:rPr>
        <w:t xml:space="preserve">, </w:t>
      </w:r>
      <w:r>
        <w:rPr>
          <w:rFonts w:hint="eastAsia" w:ascii="Arial" w:hAnsi="Arial" w:eastAsia="宋体" w:cs="Arial"/>
          <w:b/>
          <w:sz w:val="22"/>
        </w:rPr>
        <w:t>China</w:t>
      </w:r>
      <w:r>
        <w:rPr>
          <w:rFonts w:ascii="Arial" w:hAnsi="Arial" w:eastAsia="宋体" w:cs="Arial"/>
          <w:b/>
          <w:sz w:val="22"/>
        </w:rPr>
        <w:t xml:space="preserve">, </w:t>
      </w:r>
      <w:r>
        <w:rPr>
          <w:rFonts w:hint="eastAsia" w:ascii="Arial" w:hAnsi="Arial" w:eastAsia="宋体" w:cs="Arial"/>
          <w:b/>
          <w:sz w:val="22"/>
        </w:rPr>
        <w:t xml:space="preserve">October </w:t>
      </w:r>
      <w:r>
        <w:rPr>
          <w:rFonts w:ascii="Arial" w:hAnsi="Arial" w:eastAsia="宋体" w:cs="Arial"/>
          <w:b/>
          <w:sz w:val="22"/>
        </w:rPr>
        <w:t>1</w:t>
      </w:r>
      <w:r>
        <w:rPr>
          <w:rFonts w:hint="eastAsia" w:ascii="Arial" w:hAnsi="Arial" w:eastAsia="宋体" w:cs="Arial"/>
          <w:b/>
          <w:sz w:val="22"/>
        </w:rPr>
        <w:t>4</w:t>
      </w:r>
      <w:r>
        <w:rPr>
          <w:rFonts w:ascii="Arial" w:hAnsi="Arial" w:eastAsia="宋体" w:cs="Arial"/>
          <w:b/>
          <w:sz w:val="22"/>
          <w:vertAlign w:val="superscript"/>
        </w:rPr>
        <w:t>th</w:t>
      </w:r>
      <w:r>
        <w:rPr>
          <w:rFonts w:ascii="Arial" w:hAnsi="Arial" w:eastAsia="MS Mincho" w:cs="Arial"/>
          <w:b/>
          <w:sz w:val="22"/>
          <w:lang w:eastAsia="ja-JP"/>
        </w:rPr>
        <w:t xml:space="preserve"> –</w:t>
      </w:r>
      <w:r>
        <w:rPr>
          <w:rFonts w:ascii="Arial" w:hAnsi="Arial" w:eastAsia="MS Mincho" w:cs="Arial"/>
          <w:b/>
          <w:sz w:val="22"/>
          <w:lang w:eastAsia="en-US"/>
        </w:rPr>
        <w:t xml:space="preserve"> </w:t>
      </w:r>
      <w:r>
        <w:rPr>
          <w:rFonts w:hint="eastAsia" w:ascii="Arial" w:hAnsi="Arial" w:eastAsia="宋体" w:cs="Arial"/>
          <w:b/>
          <w:sz w:val="22"/>
        </w:rPr>
        <w:t>18</w:t>
      </w:r>
      <w:r>
        <w:rPr>
          <w:rFonts w:hint="eastAsia" w:ascii="Arial" w:hAnsi="Arial" w:eastAsia="宋体" w:cs="Arial"/>
          <w:b/>
          <w:sz w:val="22"/>
          <w:vertAlign w:val="superscript"/>
        </w:rPr>
        <w:t>th</w:t>
      </w:r>
      <w:r>
        <w:rPr>
          <w:rFonts w:ascii="Arial" w:hAnsi="Arial" w:eastAsia="MS Mincho" w:cs="Arial"/>
          <w:b/>
          <w:sz w:val="22"/>
          <w:lang w:eastAsia="ja-JP"/>
        </w:rPr>
        <w:t>, 20</w:t>
      </w:r>
      <w:r>
        <w:rPr>
          <w:rFonts w:ascii="Arial" w:hAnsi="Arial" w:eastAsia="宋体" w:cs="Arial"/>
          <w:b/>
          <w:sz w:val="22"/>
        </w:rPr>
        <w:t>24</w:t>
      </w:r>
    </w:p>
    <w:p>
      <w:pPr>
        <w:pStyle w:val="24"/>
        <w:tabs>
          <w:tab w:val="left" w:pos="1805"/>
          <w:tab w:val="clear" w:pos="4536"/>
        </w:tabs>
        <w:spacing w:before="0" w:beforeLines="0" w:after="0" w:afterLines="0"/>
        <w:ind w:left="1803" w:hanging="1803"/>
        <w:rPr>
          <w:rFonts w:cs="Arial"/>
          <w:sz w:val="22"/>
          <w:szCs w:val="22"/>
          <w:lang w:eastAsia="zh-CN"/>
        </w:rPr>
      </w:pPr>
    </w:p>
    <w:p>
      <w:pPr>
        <w:pStyle w:val="24"/>
        <w:tabs>
          <w:tab w:val="left" w:pos="1805"/>
          <w:tab w:val="clear" w:pos="4536"/>
        </w:tabs>
        <w:spacing w:before="0" w:beforeLines="0" w:after="0" w:afterLines="0"/>
        <w:ind w:left="1803" w:hanging="1803"/>
        <w:jc w:val="left"/>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cs="Arial"/>
          <w:sz w:val="22"/>
          <w:szCs w:val="22"/>
          <w:lang w:eastAsia="zh-CN"/>
        </w:rPr>
        <w:t>ZTE Corporation, Sanechips, China Telecom</w:t>
      </w:r>
    </w:p>
    <w:p>
      <w:pPr>
        <w:pStyle w:val="24"/>
        <w:tabs>
          <w:tab w:val="left" w:pos="1800"/>
        </w:tabs>
        <w:spacing w:before="0" w:beforeLines="0" w:after="0" w:afterLines="0"/>
        <w:ind w:left="1840" w:hanging="1833" w:hangingChars="833"/>
        <w:jc w:val="left"/>
        <w:rPr>
          <w:rFonts w:eastAsia="宋体" w:cs="Arial"/>
          <w:sz w:val="22"/>
          <w:szCs w:val="22"/>
          <w:lang w:eastAsia="zh-CN"/>
        </w:rPr>
      </w:pPr>
      <w:r>
        <w:rPr>
          <w:rFonts w:cs="Arial"/>
          <w:sz w:val="22"/>
          <w:szCs w:val="22"/>
          <w:lang w:eastAsia="zh-CN"/>
        </w:rPr>
        <w:t>Title:</w:t>
      </w:r>
      <w:r>
        <w:rPr>
          <w:rFonts w:hint="eastAsia" w:cs="Arial"/>
          <w:sz w:val="22"/>
          <w:szCs w:val="22"/>
          <w:lang w:eastAsia="zh-CN"/>
        </w:rPr>
        <w:tab/>
      </w:r>
      <w:r>
        <w:rPr>
          <w:rFonts w:hint="eastAsia" w:cs="Arial"/>
          <w:sz w:val="22"/>
          <w:szCs w:val="22"/>
          <w:lang w:eastAsia="zh-CN"/>
        </w:rPr>
        <w:tab/>
      </w:r>
      <w:r>
        <w:rPr>
          <w:rFonts w:eastAsia="宋体" w:cs="Arial"/>
          <w:bCs/>
          <w:sz w:val="22"/>
          <w:szCs w:val="22"/>
          <w:lang w:eastAsia="zh-CN"/>
        </w:rPr>
        <w:t>Discussion on e</w:t>
      </w:r>
      <w:r>
        <w:rPr>
          <w:rFonts w:eastAsia="宋体" w:cs="Arial"/>
          <w:sz w:val="22"/>
          <w:szCs w:val="22"/>
        </w:rPr>
        <w:t>nhancement</w:t>
      </w:r>
      <w:r>
        <w:rPr>
          <w:rFonts w:eastAsia="宋体" w:cs="Arial"/>
          <w:sz w:val="22"/>
          <w:szCs w:val="22"/>
          <w:lang w:eastAsia="zh-CN"/>
        </w:rPr>
        <w:t>s</w:t>
      </w:r>
      <w:r>
        <w:rPr>
          <w:rFonts w:eastAsia="宋体" w:cs="Arial"/>
          <w:sz w:val="22"/>
          <w:szCs w:val="22"/>
        </w:rPr>
        <w:t xml:space="preserve"> </w:t>
      </w:r>
      <w:r>
        <w:rPr>
          <w:rFonts w:eastAsia="宋体" w:cs="Arial"/>
          <w:sz w:val="22"/>
          <w:szCs w:val="22"/>
          <w:lang w:eastAsia="zh-CN"/>
        </w:rPr>
        <w:t xml:space="preserve">for </w:t>
      </w:r>
      <w:r>
        <w:rPr>
          <w:rFonts w:eastAsia="宋体" w:cs="Arial"/>
          <w:sz w:val="22"/>
          <w:szCs w:val="22"/>
        </w:rPr>
        <w:t>asymmetric DL sTRP</w:t>
      </w:r>
      <w:r>
        <w:rPr>
          <w:rFonts w:eastAsia="宋体" w:cs="Arial"/>
          <w:sz w:val="22"/>
          <w:szCs w:val="22"/>
          <w:lang w:eastAsia="zh-CN"/>
        </w:rPr>
        <w:t>/</w:t>
      </w:r>
      <w:r>
        <w:rPr>
          <w:rFonts w:eastAsia="宋体" w:cs="Arial"/>
          <w:sz w:val="22"/>
          <w:szCs w:val="22"/>
        </w:rPr>
        <w:t>UL mTRP scenarios</w:t>
      </w:r>
    </w:p>
    <w:p>
      <w:pPr>
        <w:pStyle w:val="24"/>
        <w:tabs>
          <w:tab w:val="left" w:pos="1800"/>
        </w:tabs>
        <w:spacing w:before="0" w:beforeLines="0" w:after="0" w:afterLines="0"/>
        <w:jc w:val="left"/>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eastAsia="宋体" w:cs="Arial"/>
          <w:bCs/>
          <w:sz w:val="22"/>
          <w:szCs w:val="22"/>
          <w:lang w:eastAsia="zh-CN"/>
        </w:rPr>
        <w:t>9.2.4</w:t>
      </w:r>
    </w:p>
    <w:p>
      <w:pPr>
        <w:pBdr>
          <w:bottom w:val="single" w:color="auto" w:sz="6" w:space="1"/>
        </w:pBdr>
        <w:adjustRightInd w:val="0"/>
        <w:spacing w:beforeAutospacing="0" w:after="0" w:afterLines="0" w:line="264" w:lineRule="auto"/>
        <w:ind w:left="1803" w:hanging="1803"/>
        <w:rPr>
          <w:rFonts w:ascii="Arial" w:hAnsi="Arial" w:cs="Arial"/>
          <w:b/>
          <w:sz w:val="22"/>
          <w:lang w:eastAsia="ja-JP"/>
        </w:rPr>
      </w:pPr>
      <w:r>
        <w:rPr>
          <w:rFonts w:ascii="Arial" w:hAnsi="Arial" w:eastAsia="MS Mincho" w:cs="Arial"/>
          <w:b/>
          <w:sz w:val="22"/>
          <w:lang w:eastAsia="en-US"/>
        </w:rPr>
        <w:t>Document for:</w:t>
      </w:r>
      <w:r>
        <w:rPr>
          <w:rFonts w:ascii="Arial" w:hAnsi="Arial" w:cs="Arial"/>
          <w:b/>
          <w:sz w:val="22"/>
          <w:lang w:eastAsia="ja-JP"/>
        </w:rPr>
        <w:tab/>
      </w:r>
      <w:r>
        <w:rPr>
          <w:rFonts w:ascii="Arial" w:hAnsi="Arial" w:eastAsia="MS Mincho" w:cs="Arial"/>
          <w:b/>
          <w:sz w:val="22"/>
          <w:lang w:eastAsia="ja-JP"/>
        </w:rPr>
        <w:t>Discussion and Decision</w:t>
      </w:r>
    </w:p>
    <w:p>
      <w:pPr>
        <w:pStyle w:val="2"/>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pPr>
        <w:adjustRightInd w:val="0"/>
        <w:spacing w:before="180" w:beforeLines="50" w:beforeAutospacing="0" w:after="180"/>
        <w:jc w:val="both"/>
        <w:rPr>
          <w:rFonts w:eastAsia="宋体"/>
          <w:szCs w:val="20"/>
        </w:rPr>
      </w:pPr>
      <w:r>
        <w:rPr>
          <w:szCs w:val="20"/>
        </w:rPr>
        <w:t>In RAN#</w:t>
      </w:r>
      <w:r>
        <w:rPr>
          <w:rFonts w:hint="eastAsia" w:eastAsia="宋体"/>
          <w:szCs w:val="20"/>
        </w:rPr>
        <w:t>105</w:t>
      </w:r>
      <w:r>
        <w:rPr>
          <w:szCs w:val="20"/>
        </w:rPr>
        <w:t xml:space="preserve"> meeting, a </w:t>
      </w:r>
      <w:r>
        <w:rPr>
          <w:rFonts w:hint="eastAsia" w:eastAsia="宋体"/>
          <w:szCs w:val="20"/>
        </w:rPr>
        <w:t>revision of WID</w:t>
      </w:r>
      <w:r>
        <w:rPr>
          <w:szCs w:val="20"/>
        </w:rPr>
        <w:t xml:space="preserve"> on MIMO evolution </w:t>
      </w:r>
      <w:r>
        <w:rPr>
          <w:rFonts w:hint="eastAsia" w:eastAsia="宋体"/>
          <w:szCs w:val="20"/>
        </w:rPr>
        <w:t>in phase 5</w:t>
      </w:r>
      <w:r>
        <w:rPr>
          <w:szCs w:val="20"/>
        </w:rPr>
        <w:t xml:space="preserve"> </w:t>
      </w:r>
      <w:r>
        <w:rPr>
          <w:rFonts w:hint="eastAsia" w:eastAsia="宋体"/>
          <w:szCs w:val="20"/>
        </w:rPr>
        <w:t>was</w:t>
      </w:r>
      <w:r>
        <w:rPr>
          <w:szCs w:val="20"/>
        </w:rPr>
        <w:t xml:space="preserve"> approved in [1]. As shown in below, </w:t>
      </w:r>
      <w:r>
        <w:rPr>
          <w:lang w:eastAsia="en-US"/>
        </w:rPr>
        <w:t>for asymmetric DL sTRP/UL mTRP deployment scenarios</w:t>
      </w:r>
      <w:r>
        <w:rPr>
          <w:rFonts w:hint="eastAsia" w:eastAsia="宋体"/>
        </w:rPr>
        <w:t xml:space="preserve">, </w:t>
      </w:r>
      <w:r>
        <w:rPr>
          <w:rFonts w:hint="eastAsia" w:eastAsia="宋体"/>
          <w:szCs w:val="20"/>
        </w:rPr>
        <w:t>two TAs for UL transmissions was approved to be specified in addition to two closed-loop PC adjustment states for SRS and pathloss offset configurations for pathloss calculation to UL TRP(s).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6"/>
              </w:numPr>
              <w:spacing w:beforeAutospacing="0" w:after="0" w:afterLines="0"/>
              <w:rPr>
                <w:lang w:eastAsia="en-US"/>
              </w:rPr>
            </w:pPr>
            <w:r>
              <w:rPr>
                <w:lang w:eastAsia="en-US"/>
              </w:rPr>
              <w:t>Specify enhancement for asymmetric DL sTRP/UL mTRP deployment scenarios, assuming intra-band intra-DU non-co-located mTRP scenarios, without changing existing cell definition or defining a new cell (e.g. UL-only cell), assuming the Rel-17/18 unified TCI framework</w:t>
            </w:r>
            <w:r>
              <w:rPr>
                <w:sz w:val="24"/>
                <w:lang w:eastAsia="en-US"/>
              </w:rPr>
              <w:t xml:space="preserve"> </w:t>
            </w:r>
            <w:r>
              <w:rPr>
                <w:lang w:eastAsia="en-US"/>
              </w:rPr>
              <w:t xml:space="preserve">and fully reusing the legacy QCL/UL spatial relation rules, targeting FR1 and FR2 </w:t>
            </w:r>
          </w:p>
          <w:p>
            <w:pPr>
              <w:numPr>
                <w:ilvl w:val="1"/>
                <w:numId w:val="6"/>
              </w:numPr>
              <w:spacing w:beforeAutospacing="0" w:after="0" w:afterLines="0"/>
              <w:rPr>
                <w:lang w:eastAsia="en-US"/>
              </w:rPr>
            </w:pPr>
            <w:r>
              <w:rPr>
                <w:lang w:eastAsia="en-US"/>
              </w:rPr>
              <w:t xml:space="preserve">Two closed-loop PC adjustment states for SRS, both separate from PUSCH; and pathloss offset configurations for pathloss calculation to UL TRP(s), when the pathloss RS is from DL sTRP. </w:t>
            </w:r>
          </w:p>
          <w:p>
            <w:pPr>
              <w:numPr>
                <w:ilvl w:val="1"/>
                <w:numId w:val="6"/>
              </w:numPr>
              <w:spacing w:beforeAutospacing="0" w:after="0" w:afterLines="0"/>
              <w:rPr>
                <w:szCs w:val="20"/>
              </w:rPr>
            </w:pPr>
            <w:r>
              <w:rPr>
                <w:lang w:val="en-GB" w:eastAsia="en-US"/>
              </w:rPr>
              <w:t>Two TAs through reusing Rel-18 specification of two TAs for multi-DCI-based multi-TRP and removing the restriction that </w:t>
            </w:r>
            <w:r>
              <w:rPr>
                <w:i/>
                <w:iCs/>
                <w:lang w:val="en-GB" w:eastAsia="en-US"/>
              </w:rPr>
              <w:t xml:space="preserve">coresetPoolIndex </w:t>
            </w:r>
            <w:r>
              <w:rPr>
                <w:lang w:val="en-GB" w:eastAsia="en-US"/>
              </w:rPr>
              <w:t>needs to be configured, assuming legacy PRACH resources</w:t>
            </w:r>
            <w:r>
              <w:rPr>
                <w:szCs w:val="20"/>
                <w:lang w:eastAsia="en-US"/>
              </w:rPr>
              <w:t xml:space="preserve"> </w:t>
            </w:r>
          </w:p>
        </w:tc>
      </w:tr>
    </w:tbl>
    <w:p>
      <w:pPr>
        <w:adjustRightInd w:val="0"/>
        <w:spacing w:before="180" w:beforeLines="50" w:beforeAutospacing="0" w:after="180"/>
        <w:jc w:val="both"/>
        <w:rPr>
          <w:szCs w:val="20"/>
        </w:rPr>
      </w:pPr>
      <w:r>
        <w:rPr>
          <w:szCs w:val="20"/>
        </w:rPr>
        <w:t xml:space="preserve">In this contribution, we present our views </w:t>
      </w:r>
      <w:r>
        <w:rPr>
          <w:rFonts w:hint="eastAsia" w:eastAsia="宋体"/>
          <w:szCs w:val="20"/>
        </w:rPr>
        <w:t xml:space="preserve">of the </w:t>
      </w:r>
      <w:r>
        <w:rPr>
          <w:szCs w:val="20"/>
        </w:rPr>
        <w:t>enhancement</w:t>
      </w:r>
      <w:r>
        <w:rPr>
          <w:rFonts w:hint="eastAsia" w:eastAsia="宋体"/>
          <w:szCs w:val="20"/>
        </w:rPr>
        <w:t>s</w:t>
      </w:r>
      <w:r>
        <w:rPr>
          <w:szCs w:val="20"/>
        </w:rPr>
        <w:t xml:space="preserve"> </w:t>
      </w:r>
      <w:r>
        <w:rPr>
          <w:rFonts w:hint="eastAsia" w:eastAsia="宋体"/>
          <w:szCs w:val="20"/>
        </w:rPr>
        <w:t>for asymmetric DL sTRP/UL</w:t>
      </w:r>
      <w:r>
        <w:rPr>
          <w:szCs w:val="20"/>
        </w:rPr>
        <w:t xml:space="preserve"> </w:t>
      </w:r>
      <w:r>
        <w:rPr>
          <w:rFonts w:hint="eastAsia" w:eastAsia="宋体"/>
          <w:szCs w:val="20"/>
        </w:rPr>
        <w:t>mTRP scenarios</w:t>
      </w:r>
      <w:r>
        <w:rPr>
          <w:szCs w:val="20"/>
        </w:rPr>
        <w:t>.</w:t>
      </w:r>
    </w:p>
    <w:p>
      <w:pPr>
        <w:pStyle w:val="2"/>
        <w:keepNext/>
        <w:tabs>
          <w:tab w:val="left" w:pos="3686"/>
          <w:tab w:val="left" w:pos="4536"/>
        </w:tabs>
        <w:spacing w:before="360" w:beforeLines="100" w:after="180" w:line="240" w:lineRule="auto"/>
        <w:textAlignment w:val="baseline"/>
        <w:rPr>
          <w:lang w:val="en-US"/>
        </w:rPr>
      </w:pPr>
      <w:r>
        <w:rPr>
          <w:rFonts w:hint="eastAsia"/>
          <w:lang w:val="en-US"/>
        </w:rPr>
        <w:t xml:space="preserve">Pathloss offset </w:t>
      </w:r>
      <w:r>
        <w:rPr>
          <w:lang w:val="en-US"/>
        </w:rPr>
        <w:t>related enhancement</w:t>
      </w:r>
    </w:p>
    <w:p>
      <w:pPr>
        <w:adjustRightInd w:val="0"/>
        <w:spacing w:before="180" w:beforeLines="50" w:beforeAutospacing="0" w:after="180"/>
        <w:jc w:val="both"/>
        <w:rPr>
          <w:rFonts w:eastAsia="宋体"/>
          <w:szCs w:val="20"/>
        </w:rPr>
      </w:pPr>
      <w:r>
        <w:rPr>
          <w:rFonts w:eastAsia="宋体"/>
          <w:szCs w:val="20"/>
        </w:rPr>
        <w:t>In RAN1#11</w:t>
      </w:r>
      <w:r>
        <w:rPr>
          <w:rFonts w:hint="eastAsia" w:eastAsia="宋体"/>
          <w:szCs w:val="20"/>
        </w:rPr>
        <w:t>8</w:t>
      </w:r>
      <w:r>
        <w:rPr>
          <w:rFonts w:eastAsia="宋体"/>
          <w:szCs w:val="20"/>
        </w:rPr>
        <w:t xml:space="preserve"> meeting, the following agreements were reached for the issue of pathloss offset related enhancement [</w:t>
      </w:r>
      <w:r>
        <w:rPr>
          <w:rFonts w:hint="eastAsia" w:eastAsia="宋体"/>
          <w:szCs w:val="20"/>
        </w:rPr>
        <w:t>2</w:t>
      </w:r>
      <w:r>
        <w:rPr>
          <w:rFonts w:eastAsia="宋体"/>
          <w:szCs w:val="20"/>
        </w:rPr>
        <w:t>].</w:t>
      </w:r>
    </w:p>
    <w:tbl>
      <w:tblPr>
        <w:tblStyle w:val="29"/>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5" w:type="dxa"/>
          </w:tcPr>
          <w:p>
            <w:pPr>
              <w:spacing w:beforeAutospacing="0" w:after="0" w:afterLines="0"/>
              <w:rPr>
                <w:rFonts w:ascii="Times" w:hAnsi="Times" w:eastAsia="Batang" w:cs="Times"/>
                <w:b/>
                <w:bCs/>
                <w:highlight w:val="green"/>
                <w:lang w:val="en-GB"/>
              </w:rPr>
            </w:pPr>
            <w:r>
              <w:rPr>
                <w:rFonts w:ascii="Times" w:hAnsi="Times" w:eastAsia="Batang" w:cs="Times"/>
                <w:b/>
                <w:bCs/>
                <w:highlight w:val="green"/>
                <w:lang w:val="en-GB"/>
              </w:rPr>
              <w:t>Agreement</w:t>
            </w:r>
          </w:p>
          <w:p>
            <w:pPr>
              <w:spacing w:beforeAutospacing="0" w:after="0" w:afterLines="0"/>
              <w:rPr>
                <w:rFonts w:ascii="Times" w:hAnsi="Times" w:eastAsia="等线" w:cs="Arial"/>
                <w:szCs w:val="20"/>
                <w:lang w:val="en-GB" w:eastAsia="en-US"/>
              </w:rPr>
            </w:pPr>
            <w:r>
              <w:rPr>
                <w:rFonts w:ascii="Times" w:hAnsi="Times" w:eastAsia="等线" w:cs="Arial"/>
                <w:szCs w:val="20"/>
                <w:lang w:val="en-GB" w:eastAsia="en-US"/>
              </w:rPr>
              <w:t xml:space="preserve">For indicating a PL offset for PDCCH-order PRACH transmission at least for FR1, support </w:t>
            </w:r>
            <w:r>
              <w:rPr>
                <w:rFonts w:ascii="Times" w:hAnsi="Times" w:eastAsia="等线" w:cs="Arial"/>
                <w:b/>
                <w:bCs/>
                <w:szCs w:val="20"/>
                <w:lang w:val="en-GB" w:eastAsia="en-US"/>
              </w:rPr>
              <w:t>Alt3</w:t>
            </w:r>
            <w:r>
              <w:rPr>
                <w:rFonts w:ascii="Times" w:hAnsi="Times" w:eastAsia="等线" w:cs="Arial"/>
                <w:szCs w:val="20"/>
                <w:lang w:val="en-GB" w:eastAsia="en-US"/>
              </w:rPr>
              <w:t>:</w:t>
            </w:r>
          </w:p>
          <w:p>
            <w:pPr>
              <w:numPr>
                <w:ilvl w:val="0"/>
                <w:numId w:val="7"/>
              </w:numPr>
              <w:spacing w:beforeAutospacing="0" w:after="0" w:afterLines="0"/>
              <w:jc w:val="both"/>
              <w:rPr>
                <w:rFonts w:ascii="Times" w:hAnsi="Times" w:eastAsia="等线" w:cs="Arial"/>
                <w:szCs w:val="18"/>
                <w:lang w:val="en-GB" w:eastAsia="en-US"/>
              </w:rPr>
            </w:pPr>
            <w:r>
              <w:rPr>
                <w:rFonts w:ascii="Times" w:hAnsi="Times" w:eastAsia="等线" w:cs="Arial"/>
                <w:szCs w:val="16"/>
                <w:lang w:val="en-GB" w:eastAsia="en-US"/>
              </w:rPr>
              <w:t>Alt3: The PL offset associated with one of the indicated joint/UL TCI state for UL TRP in unified TCI framework is applied on the PDCCH-order PRACH transmission</w:t>
            </w:r>
          </w:p>
          <w:p>
            <w:pPr>
              <w:numPr>
                <w:ilvl w:val="1"/>
                <w:numId w:val="7"/>
              </w:numPr>
              <w:spacing w:beforeAutospacing="0" w:after="0" w:afterLines="0"/>
              <w:rPr>
                <w:rFonts w:ascii="Aptos" w:hAnsi="Aptos" w:eastAsia="Malgun Gothic"/>
                <w:szCs w:val="22"/>
                <w:lang w:val="en-GB"/>
              </w:rPr>
            </w:pPr>
            <w:r>
              <w:rPr>
                <w:rFonts w:ascii="Times" w:hAnsi="Times" w:eastAsia="等线" w:cs="Arial"/>
                <w:szCs w:val="20"/>
                <w:lang w:val="en-GB"/>
              </w:rPr>
              <w:t>FFS the detailed design of DCI format: e.g., how to indicate one of the indicated joint/UL TCI states or whether to apply the PL offset in the indicated TCI state or not.</w:t>
            </w:r>
          </w:p>
          <w:p>
            <w:pPr>
              <w:spacing w:beforeAutospacing="0" w:after="0" w:afterLines="0"/>
              <w:rPr>
                <w:rFonts w:ascii="Aptos" w:hAnsi="Aptos" w:eastAsia="Malgun Gothic"/>
                <w:szCs w:val="22"/>
                <w:lang w:val="en-GB"/>
              </w:rPr>
            </w:pPr>
          </w:p>
          <w:p>
            <w:pPr>
              <w:spacing w:beforeAutospacing="0" w:after="0" w:afterLines="0"/>
              <w:rPr>
                <w:rFonts w:ascii="Times" w:hAnsi="Times" w:eastAsia="Batang" w:cs="Times"/>
                <w:b/>
                <w:bCs/>
                <w:highlight w:val="green"/>
                <w:lang w:val="en-GB"/>
              </w:rPr>
            </w:pPr>
            <w:r>
              <w:rPr>
                <w:rFonts w:ascii="Times" w:hAnsi="Times" w:eastAsia="Batang" w:cs="Times"/>
                <w:b/>
                <w:bCs/>
                <w:highlight w:val="green"/>
                <w:lang w:val="en-GB"/>
              </w:rPr>
              <w:t>Agreement</w:t>
            </w:r>
          </w:p>
          <w:p>
            <w:pPr>
              <w:spacing w:beforeAutospacing="0" w:after="0" w:afterLines="0"/>
              <w:rPr>
                <w:rFonts w:ascii="Times" w:hAnsi="Times" w:eastAsia="Yu Mincho" w:cs="Arial"/>
                <w:szCs w:val="20"/>
                <w:lang w:val="en-GB" w:eastAsia="en-US"/>
              </w:rPr>
            </w:pPr>
            <w:r>
              <w:rPr>
                <w:rFonts w:ascii="Times" w:hAnsi="Times" w:eastAsia="等线" w:cs="Arial"/>
                <w:szCs w:val="18"/>
                <w:lang w:val="en-GB" w:eastAsia="en-US"/>
              </w:rPr>
              <w:t xml:space="preserve">For the asymmetric DL sTRP/UL mTRP scenarios, </w:t>
            </w:r>
            <w:r>
              <w:rPr>
                <w:rFonts w:ascii="Times" w:hAnsi="Times" w:eastAsia="Yu Mincho" w:cs="Arial"/>
                <w:szCs w:val="20"/>
                <w:lang w:val="en-GB" w:eastAsia="en-US"/>
              </w:rPr>
              <w:t xml:space="preserve">the value range of PL offset includes at least [-10, 60] dB </w:t>
            </w:r>
          </w:p>
          <w:p>
            <w:pPr>
              <w:numPr>
                <w:ilvl w:val="0"/>
                <w:numId w:val="8"/>
              </w:numPr>
              <w:spacing w:beforeAutospacing="0" w:after="0" w:afterLines="0"/>
              <w:jc w:val="both"/>
              <w:rPr>
                <w:rFonts w:ascii="Times" w:hAnsi="Times" w:eastAsia="等线" w:cs="Arial"/>
                <w:szCs w:val="20"/>
                <w:lang w:val="en-CA" w:eastAsia="en-US"/>
              </w:rPr>
            </w:pPr>
            <w:r>
              <w:rPr>
                <w:rFonts w:ascii="Times" w:hAnsi="Times" w:eastAsia="等线" w:cs="Arial"/>
                <w:szCs w:val="20"/>
                <w:lang w:val="en-CA" w:eastAsia="en-US"/>
              </w:rPr>
              <w:t>FFS: Extending the range to lower than -10dB</w:t>
            </w:r>
          </w:p>
          <w:p>
            <w:pPr>
              <w:numPr>
                <w:ilvl w:val="0"/>
                <w:numId w:val="8"/>
              </w:numPr>
              <w:spacing w:beforeAutospacing="0" w:after="0" w:afterLines="0"/>
              <w:jc w:val="both"/>
              <w:rPr>
                <w:rFonts w:ascii="Times" w:hAnsi="Times" w:eastAsia="等线" w:cs="Arial"/>
                <w:szCs w:val="20"/>
                <w:lang w:val="en-CA" w:eastAsia="en-US"/>
              </w:rPr>
            </w:pPr>
            <w:r>
              <w:rPr>
                <w:rFonts w:ascii="Times" w:hAnsi="Times" w:eastAsia="Calibri" w:cs="Arial"/>
                <w:szCs w:val="20"/>
                <w:lang w:val="en-GB" w:eastAsia="en-US"/>
              </w:rPr>
              <w:t>Step size is 4dB</w:t>
            </w:r>
          </w:p>
          <w:p>
            <w:pPr>
              <w:spacing w:beforeAutospacing="0" w:after="0" w:afterLines="0"/>
              <w:rPr>
                <w:rFonts w:ascii="Times" w:hAnsi="Times" w:eastAsia="Batang"/>
                <w:lang w:val="en-CA" w:eastAsia="en-US"/>
              </w:rPr>
            </w:pPr>
          </w:p>
          <w:p>
            <w:pPr>
              <w:spacing w:beforeAutospacing="0" w:after="0" w:afterLines="0"/>
              <w:rPr>
                <w:rFonts w:ascii="Times" w:hAnsi="Times" w:eastAsia="Batang" w:cs="Times"/>
                <w:b/>
                <w:bCs/>
                <w:highlight w:val="green"/>
                <w:lang w:val="en-GB"/>
              </w:rPr>
            </w:pPr>
            <w:r>
              <w:rPr>
                <w:rFonts w:ascii="Times" w:hAnsi="Times" w:eastAsia="Batang" w:cs="Times"/>
                <w:b/>
                <w:bCs/>
                <w:highlight w:val="green"/>
                <w:lang w:val="en-GB"/>
              </w:rPr>
              <w:t>Agreement</w:t>
            </w:r>
          </w:p>
          <w:p>
            <w:pPr>
              <w:spacing w:beforeAutospacing="0" w:after="0" w:afterLines="0"/>
              <w:jc w:val="both"/>
              <w:rPr>
                <w:rFonts w:eastAsia="等线"/>
                <w:szCs w:val="20"/>
                <w:lang w:val="en-GB"/>
              </w:rPr>
            </w:pPr>
            <w:r>
              <w:rPr>
                <w:rFonts w:eastAsia="等线"/>
                <w:szCs w:val="18"/>
                <w:lang w:val="en-GB"/>
              </w:rPr>
              <w:t xml:space="preserve">For the asymmetric DL sTRP/UL mTRP scenarios, support to include PL offset in the calculation of </w:t>
            </w:r>
            <w:r>
              <w:rPr>
                <w:rFonts w:eastAsia="等线"/>
                <w:szCs w:val="20"/>
                <w:lang w:val="en-GB"/>
              </w:rPr>
              <w:t>Type 1 PHR based on actual PUSCH transmission and Type 1 PHR based on reference PUSCH</w:t>
            </w:r>
          </w:p>
          <w:p>
            <w:pPr>
              <w:adjustRightInd w:val="0"/>
              <w:spacing w:beforeAutospacing="0" w:after="0" w:afterLines="0"/>
              <w:rPr>
                <w:rFonts w:eastAsia="等线"/>
                <w:b/>
                <w:bCs/>
                <w:szCs w:val="20"/>
                <w:highlight w:val="green"/>
                <w:lang w:val="en-GB"/>
              </w:rPr>
            </w:pPr>
          </w:p>
          <w:p>
            <w:pPr>
              <w:spacing w:beforeAutospacing="0" w:after="0" w:afterLines="0"/>
              <w:rPr>
                <w:rFonts w:ascii="Times" w:hAnsi="Times" w:eastAsia="Batang"/>
                <w:b/>
                <w:bCs/>
                <w:lang w:eastAsia="en-US"/>
              </w:rPr>
            </w:pPr>
            <w:r>
              <w:rPr>
                <w:rFonts w:ascii="Times" w:hAnsi="Times" w:eastAsia="Batang"/>
                <w:b/>
                <w:bCs/>
                <w:highlight w:val="green"/>
                <w:lang w:eastAsia="en-US"/>
              </w:rPr>
              <w:t>Agreement</w:t>
            </w:r>
          </w:p>
          <w:p>
            <w:pPr>
              <w:spacing w:beforeAutospacing="0" w:after="0" w:afterLines="0"/>
              <w:rPr>
                <w:rFonts w:ascii="Times" w:hAnsi="Times" w:eastAsia="等线" w:cs="Batang"/>
                <w:szCs w:val="20"/>
                <w:lang w:val="en-CA" w:eastAsia="en-US"/>
              </w:rPr>
            </w:pPr>
            <w:r>
              <w:rPr>
                <w:rFonts w:ascii="Times" w:hAnsi="Times" w:eastAsia="等线" w:cs="Batang"/>
                <w:szCs w:val="20"/>
                <w:lang w:val="en-CA" w:eastAsia="en-US"/>
              </w:rPr>
              <w:t>Study whether to support Type 3 PHR reporting in a serving cell/BWP where the UE is configured with two separate SRS CLPC adjustment states.</w:t>
            </w:r>
          </w:p>
          <w:p>
            <w:pPr>
              <w:numPr>
                <w:ilvl w:val="0"/>
                <w:numId w:val="9"/>
              </w:numPr>
              <w:spacing w:beforeAutospacing="0" w:after="0" w:afterLines="0"/>
              <w:rPr>
                <w:rFonts w:eastAsia="等线"/>
                <w:szCs w:val="20"/>
              </w:rPr>
            </w:pPr>
            <w:r>
              <w:rPr>
                <w:rFonts w:ascii="Times" w:hAnsi="Times" w:eastAsia="等线" w:cs="Arial"/>
                <w:szCs w:val="20"/>
                <w:lang w:val="en-CA"/>
              </w:rPr>
              <w:t>Continue to study whether to support including PL offset in the calculation of Type 3 PHR.</w:t>
            </w:r>
          </w:p>
        </w:tc>
      </w:tr>
    </w:tbl>
    <w:p>
      <w:pPr>
        <w:adjustRightInd w:val="0"/>
        <w:spacing w:before="180" w:beforeLines="50" w:beforeAutospacing="0" w:after="180"/>
        <w:jc w:val="both"/>
        <w:rPr>
          <w:rFonts w:eastAsia="宋体"/>
          <w:szCs w:val="20"/>
        </w:rPr>
      </w:pPr>
      <w:r>
        <w:rPr>
          <w:rFonts w:eastAsia="宋体"/>
          <w:szCs w:val="20"/>
        </w:rPr>
        <w:t>On the rule of Alt3 for indicating PL offset for PDCCH-order based PRACH transmission at least for FR1, i.e., the PL offset associated with one of the indicated joint/UL TCI state for UL TRP in unified TCI framework is applied on the PDCCH-order PRACH transmission, the next-level information needs to be indicated due to PL offset only can be applied for PDCCH-order PRACH towards UL TRP(s) as per the previous agreements</w:t>
      </w:r>
      <w:r>
        <w:rPr>
          <w:rFonts w:hint="eastAsia" w:eastAsia="宋体"/>
          <w:szCs w:val="20"/>
        </w:rPr>
        <w:t>, which includes</w:t>
      </w:r>
      <w:r>
        <w:rPr>
          <w:rFonts w:eastAsia="宋体"/>
          <w:szCs w:val="20"/>
        </w:rPr>
        <w:t>:</w:t>
      </w:r>
    </w:p>
    <w:p>
      <w:pPr>
        <w:pStyle w:val="52"/>
        <w:numPr>
          <w:ilvl w:val="0"/>
          <w:numId w:val="10"/>
        </w:numPr>
        <w:spacing w:before="180" w:beforeLines="50" w:after="108"/>
        <w:ind w:leftChars="0"/>
        <w:rPr>
          <w:rFonts w:ascii="Times New Roman" w:hAnsi="Times New Roman" w:eastAsia="宋体"/>
          <w:szCs w:val="20"/>
        </w:rPr>
      </w:pPr>
      <w:r>
        <w:rPr>
          <w:rFonts w:ascii="Times New Roman" w:hAnsi="Times New Roman" w:eastAsia="宋体"/>
          <w:szCs w:val="20"/>
        </w:rPr>
        <w:t>Case 1: When Rel-17 unified TCI for sTRP/ICBM is configured, whether PL offset in the indicated TCI state is applied (e.g., PRACH towards UL TRP(s)) or not (PRACH towards to</w:t>
      </w:r>
      <w:r>
        <w:rPr>
          <w:rFonts w:hint="eastAsia" w:ascii="Times New Roman" w:hAnsi="Times New Roman" w:eastAsia="宋体"/>
          <w:szCs w:val="20"/>
          <w:lang w:val="en-US"/>
        </w:rPr>
        <w:t xml:space="preserve"> Anchor</w:t>
      </w:r>
      <w:r>
        <w:rPr>
          <w:rFonts w:ascii="Times New Roman" w:hAnsi="Times New Roman" w:eastAsia="宋体"/>
          <w:szCs w:val="20"/>
        </w:rPr>
        <w:t xml:space="preserve"> TRP).</w:t>
      </w:r>
    </w:p>
    <w:p>
      <w:pPr>
        <w:pStyle w:val="52"/>
        <w:numPr>
          <w:ilvl w:val="0"/>
          <w:numId w:val="10"/>
        </w:numPr>
        <w:spacing w:before="180" w:beforeLines="50" w:after="108"/>
        <w:ind w:leftChars="0"/>
        <w:rPr>
          <w:rFonts w:ascii="Times New Roman" w:hAnsi="Times New Roman" w:eastAsia="宋体"/>
          <w:szCs w:val="20"/>
        </w:rPr>
      </w:pPr>
      <w:r>
        <w:rPr>
          <w:rFonts w:ascii="Times New Roman" w:hAnsi="Times New Roman" w:eastAsia="宋体"/>
          <w:szCs w:val="20"/>
        </w:rPr>
        <w:t xml:space="preserve">Case 2: When Rel-18 unified TCI for mTRP is configured, PL offset corresponding to which one out of two indicated TCI states is applied (e.g., PRACH towards to </w:t>
      </w:r>
      <w:r>
        <w:rPr>
          <w:rFonts w:hint="eastAsia" w:ascii="Times New Roman" w:hAnsi="Times New Roman" w:eastAsia="宋体"/>
          <w:szCs w:val="20"/>
          <w:lang w:val="en-US"/>
        </w:rPr>
        <w:t xml:space="preserve">one out of two </w:t>
      </w:r>
      <w:r>
        <w:rPr>
          <w:rFonts w:ascii="Times New Roman" w:hAnsi="Times New Roman" w:eastAsia="宋体"/>
          <w:szCs w:val="20"/>
        </w:rPr>
        <w:t>UL TR</w:t>
      </w:r>
      <w:r>
        <w:rPr>
          <w:rFonts w:hint="eastAsia" w:ascii="Times New Roman" w:hAnsi="Times New Roman" w:eastAsia="宋体"/>
          <w:szCs w:val="20"/>
          <w:lang w:val="en-US"/>
        </w:rPr>
        <w:t>Ps</w:t>
      </w:r>
      <w:r>
        <w:rPr>
          <w:rFonts w:ascii="Times New Roman" w:hAnsi="Times New Roman" w:eastAsia="宋体"/>
          <w:szCs w:val="20"/>
        </w:rPr>
        <w:t>).</w:t>
      </w:r>
    </w:p>
    <w:p>
      <w:pPr>
        <w:adjustRightInd w:val="0"/>
        <w:spacing w:before="180" w:beforeLines="50" w:beforeAutospacing="0" w:after="180"/>
        <w:jc w:val="both"/>
        <w:rPr>
          <w:rFonts w:eastAsia="宋体"/>
          <w:szCs w:val="20"/>
          <w:lang w:val="en-GB"/>
        </w:rPr>
      </w:pPr>
      <w:r>
        <w:rPr>
          <w:rFonts w:eastAsia="宋体"/>
          <w:szCs w:val="20"/>
          <w:lang w:val="en-GB"/>
        </w:rPr>
        <w:t xml:space="preserve">Basically, it is sufficient to use a 1-bit indication field in DCI format 1_0 to fulfill this indication for </w:t>
      </w:r>
      <w:r>
        <w:rPr>
          <w:rFonts w:hint="eastAsia" w:eastAsia="宋体"/>
          <w:szCs w:val="20"/>
        </w:rPr>
        <w:t xml:space="preserve">both of </w:t>
      </w:r>
      <w:r>
        <w:rPr>
          <w:rFonts w:eastAsia="宋体"/>
          <w:szCs w:val="20"/>
          <w:lang w:val="en-GB"/>
        </w:rPr>
        <w:t>the two cases. Note that ‘PRACH association indicator’ field introduced to Rel-18 two TAs for MDCI is to indicate which TRP the PDCCH-order PRACH towards to (i.e., same TRP or cross-TRP), this field can be smoothly utilized in this sense. Alternatively, it also can be feasible to newly introduce a 1-bit indication field in DCI format 1_0, though it may negatively lead to overhead increase especially when consider the limited reserved bits in DCI format 1_0.</w:t>
      </w:r>
    </w:p>
    <w:p>
      <w:pPr>
        <w:adjustRightInd w:val="0"/>
        <w:spacing w:before="180" w:beforeLines="50" w:beforeAutospacing="0" w:after="0" w:afterLines="0"/>
        <w:jc w:val="both"/>
        <w:rPr>
          <w:rFonts w:eastAsia="宋体"/>
          <w:i/>
          <w:iCs/>
          <w:szCs w:val="20"/>
        </w:rPr>
      </w:pPr>
      <w:r>
        <w:rPr>
          <w:rFonts w:eastAsia="宋体"/>
          <w:b/>
          <w:bCs/>
          <w:i/>
          <w:iCs/>
          <w:szCs w:val="20"/>
        </w:rPr>
        <w:t xml:space="preserve">Proposal 1: </w:t>
      </w:r>
      <w:r>
        <w:rPr>
          <w:rFonts w:eastAsia="等线"/>
          <w:i/>
          <w:szCs w:val="20"/>
          <w:lang w:val="en-GB"/>
        </w:rPr>
        <w:t xml:space="preserve">For indicating whether PL offset in the indicated TCI state is applied when Rel-17 unified TCI for sTRP/ICBM is configured or PL offset corresponding to which one out of two TCI states is applied, consider </w:t>
      </w:r>
      <w:r>
        <w:rPr>
          <w:rFonts w:hint="eastAsia" w:eastAsia="等线"/>
          <w:i/>
          <w:szCs w:val="20"/>
        </w:rPr>
        <w:t xml:space="preserve">to </w:t>
      </w:r>
      <w:r>
        <w:rPr>
          <w:rFonts w:eastAsia="等线"/>
          <w:i/>
          <w:szCs w:val="20"/>
          <w:lang w:val="en-GB"/>
        </w:rPr>
        <w:t>down-select one of the following options:</w:t>
      </w:r>
    </w:p>
    <w:p>
      <w:pPr>
        <w:pStyle w:val="52"/>
        <w:numPr>
          <w:ilvl w:val="0"/>
          <w:numId w:val="11"/>
        </w:numPr>
        <w:spacing w:before="0" w:beforeLines="0" w:after="0" w:afterLines="0" w:line="240" w:lineRule="auto"/>
        <w:ind w:leftChars="0"/>
        <w:rPr>
          <w:rFonts w:ascii="Times New Roman" w:hAnsi="Times New Roman" w:eastAsia="宋体"/>
          <w:i/>
          <w:szCs w:val="20"/>
        </w:rPr>
      </w:pPr>
      <w:r>
        <w:rPr>
          <w:rFonts w:ascii="Times New Roman" w:hAnsi="Times New Roman" w:eastAsia="宋体"/>
          <w:i/>
          <w:iCs/>
          <w:szCs w:val="20"/>
        </w:rPr>
        <w:t>Option 1: Utilize ‘PRACH association indicator’ field in DCI format 1_0</w:t>
      </w:r>
      <w:r>
        <w:rPr>
          <w:rFonts w:ascii="Times New Roman" w:hAnsi="Times New Roman" w:eastAsia="宋体"/>
          <w:i/>
          <w:szCs w:val="20"/>
        </w:rPr>
        <w:t>.</w:t>
      </w:r>
    </w:p>
    <w:p>
      <w:pPr>
        <w:pStyle w:val="52"/>
        <w:numPr>
          <w:ilvl w:val="0"/>
          <w:numId w:val="11"/>
        </w:numPr>
        <w:spacing w:before="0" w:beforeLines="0" w:after="0" w:afterLines="0" w:line="240" w:lineRule="auto"/>
        <w:ind w:leftChars="0"/>
        <w:rPr>
          <w:rFonts w:ascii="Times New Roman" w:hAnsi="Times New Roman" w:eastAsia="宋体"/>
          <w:i/>
          <w:szCs w:val="20"/>
        </w:rPr>
      </w:pPr>
      <w:r>
        <w:rPr>
          <w:rFonts w:ascii="Times New Roman" w:hAnsi="Times New Roman" w:eastAsia="宋体"/>
          <w:i/>
          <w:szCs w:val="20"/>
        </w:rPr>
        <w:t>Option 2: Introduce a new 1-bit indication field in DCI format 1_0.</w:t>
      </w:r>
    </w:p>
    <w:p>
      <w:pPr>
        <w:adjustRightInd w:val="0"/>
        <w:spacing w:before="180" w:beforeLines="50" w:beforeAutospacing="0" w:after="180"/>
        <w:jc w:val="both"/>
        <w:rPr>
          <w:rFonts w:eastAsia="宋体"/>
          <w:szCs w:val="20"/>
          <w:lang w:val="en-GB"/>
        </w:rPr>
      </w:pPr>
      <w:r>
        <w:rPr>
          <w:rFonts w:eastAsia="宋体"/>
          <w:szCs w:val="20"/>
          <w:lang w:val="en-GB"/>
        </w:rPr>
        <w:t xml:space="preserve">Given that two TAs </w:t>
      </w:r>
      <w:r>
        <w:rPr>
          <w:rFonts w:hint="eastAsia" w:eastAsia="宋体"/>
          <w:szCs w:val="20"/>
          <w:lang w:val="en-GB"/>
        </w:rPr>
        <w:t xml:space="preserve">were </w:t>
      </w:r>
      <w:r>
        <w:rPr>
          <w:rFonts w:eastAsia="宋体"/>
          <w:szCs w:val="20"/>
          <w:lang w:val="en-GB"/>
        </w:rPr>
        <w:t xml:space="preserve">agreed to be specified while the enhancements on asymmetric DL sTRP/UL mTRP deployment scenarios targeting both FR1 and FR2 as stated in the WID, it is natural and beneficial to enable PL offset for PDCCH-order PRACH towards </w:t>
      </w:r>
      <w:r>
        <w:rPr>
          <w:rFonts w:hint="eastAsia" w:eastAsia="宋体"/>
          <w:szCs w:val="20"/>
        </w:rPr>
        <w:t xml:space="preserve">to </w:t>
      </w:r>
      <w:r>
        <w:rPr>
          <w:rFonts w:eastAsia="宋体"/>
          <w:szCs w:val="20"/>
          <w:lang w:val="en-GB"/>
        </w:rPr>
        <w:t>UL TRP(s) in FR2</w:t>
      </w:r>
      <w:r>
        <w:rPr>
          <w:rFonts w:hint="eastAsia" w:eastAsia="宋体"/>
          <w:szCs w:val="20"/>
        </w:rPr>
        <w:t xml:space="preserve"> as well</w:t>
      </w:r>
      <w:r>
        <w:rPr>
          <w:rFonts w:eastAsia="宋体"/>
          <w:szCs w:val="20"/>
          <w:lang w:val="en-GB"/>
        </w:rPr>
        <w:t>. Consequently, the same mechanism</w:t>
      </w:r>
      <w:r>
        <w:rPr>
          <w:rFonts w:hint="eastAsia" w:eastAsia="宋体"/>
          <w:szCs w:val="20"/>
        </w:rPr>
        <w:t>s</w:t>
      </w:r>
      <w:r>
        <w:rPr>
          <w:rFonts w:eastAsia="宋体"/>
          <w:szCs w:val="20"/>
          <w:lang w:val="en-GB"/>
        </w:rPr>
        <w:t xml:space="preserve"> on PL offset indication for PDCCH-order PRACH towards </w:t>
      </w:r>
      <w:r>
        <w:rPr>
          <w:rFonts w:hint="eastAsia" w:eastAsia="宋体"/>
          <w:szCs w:val="20"/>
        </w:rPr>
        <w:t xml:space="preserve">to </w:t>
      </w:r>
      <w:r>
        <w:rPr>
          <w:rFonts w:eastAsia="宋体"/>
          <w:szCs w:val="20"/>
          <w:lang w:val="en-GB"/>
        </w:rPr>
        <w:t>UL TRP(s) in FR1 can be reused.</w:t>
      </w:r>
    </w:p>
    <w:p>
      <w:pPr>
        <w:adjustRightInd w:val="0"/>
        <w:spacing w:before="180" w:beforeLines="50" w:beforeAutospacing="0" w:after="0" w:afterLines="0"/>
        <w:jc w:val="both"/>
        <w:rPr>
          <w:rFonts w:eastAsia="宋体"/>
          <w:i/>
          <w:iCs/>
          <w:szCs w:val="20"/>
        </w:rPr>
      </w:pPr>
      <w:r>
        <w:rPr>
          <w:rFonts w:eastAsia="宋体"/>
          <w:b/>
          <w:bCs/>
          <w:i/>
          <w:iCs/>
          <w:szCs w:val="20"/>
        </w:rPr>
        <w:t xml:space="preserve">Proposal 2: </w:t>
      </w:r>
      <w:r>
        <w:rPr>
          <w:rFonts w:eastAsia="等线"/>
          <w:i/>
          <w:szCs w:val="20"/>
          <w:lang w:val="en-GB"/>
        </w:rPr>
        <w:t xml:space="preserve">Support to apply PL offset on PDCCH-order PRACH towards </w:t>
      </w:r>
      <w:r>
        <w:rPr>
          <w:rFonts w:hint="eastAsia" w:eastAsia="等线"/>
          <w:i/>
          <w:szCs w:val="20"/>
        </w:rPr>
        <w:t xml:space="preserve">to </w:t>
      </w:r>
      <w:r>
        <w:rPr>
          <w:rFonts w:eastAsia="等线"/>
          <w:i/>
          <w:szCs w:val="20"/>
          <w:lang w:val="en-GB"/>
        </w:rPr>
        <w:t>UL TPR(s) in FR2.</w:t>
      </w:r>
    </w:p>
    <w:p>
      <w:pPr>
        <w:pStyle w:val="52"/>
        <w:numPr>
          <w:ilvl w:val="0"/>
          <w:numId w:val="11"/>
        </w:numPr>
        <w:spacing w:before="0" w:beforeLines="0" w:after="0" w:afterLines="0" w:line="240" w:lineRule="auto"/>
        <w:ind w:leftChars="0"/>
        <w:rPr>
          <w:rFonts w:ascii="Times New Roman" w:hAnsi="Times New Roman" w:eastAsia="宋体"/>
          <w:i/>
          <w:szCs w:val="20"/>
        </w:rPr>
      </w:pPr>
      <w:r>
        <w:rPr>
          <w:rFonts w:ascii="Times New Roman" w:hAnsi="Times New Roman" w:eastAsia="宋体"/>
          <w:i/>
          <w:iCs/>
          <w:szCs w:val="20"/>
        </w:rPr>
        <w:t>Reuse the same mechanism</w:t>
      </w:r>
      <w:r>
        <w:rPr>
          <w:rFonts w:hint="eastAsia" w:ascii="Times New Roman" w:hAnsi="Times New Roman" w:eastAsia="宋体"/>
          <w:i/>
          <w:iCs/>
          <w:szCs w:val="20"/>
          <w:lang w:val="en-US"/>
        </w:rPr>
        <w:t>s</w:t>
      </w:r>
      <w:r>
        <w:rPr>
          <w:rFonts w:ascii="Times New Roman" w:hAnsi="Times New Roman" w:eastAsia="宋体"/>
          <w:i/>
          <w:iCs/>
          <w:szCs w:val="20"/>
        </w:rPr>
        <w:t xml:space="preserve"> on PL offset indication for PDCCH-order PRACH towards UL TRP(s) in FR1</w:t>
      </w:r>
      <w:r>
        <w:rPr>
          <w:rFonts w:ascii="Times New Roman" w:hAnsi="Times New Roman" w:eastAsia="宋体"/>
          <w:i/>
          <w:szCs w:val="20"/>
        </w:rPr>
        <w:t>.</w:t>
      </w:r>
    </w:p>
    <w:p>
      <w:pPr>
        <w:adjustRightInd w:val="0"/>
        <w:spacing w:before="180" w:beforeLines="50" w:beforeAutospacing="0" w:after="180"/>
        <w:jc w:val="both"/>
        <w:rPr>
          <w:rFonts w:eastAsia="宋体"/>
          <w:szCs w:val="20"/>
        </w:rPr>
      </w:pPr>
      <w:r>
        <w:rPr>
          <w:rFonts w:eastAsia="宋体"/>
          <w:szCs w:val="20"/>
          <w:lang w:val="en-GB"/>
        </w:rPr>
        <w:t xml:space="preserve">Regarding Type 3 PHR reported in asymmetric DL sTRP/UL mTRP deployment scenarios, it is critical to be supported </w:t>
      </w:r>
      <w:r>
        <w:rPr>
          <w:rFonts w:hint="eastAsia" w:eastAsia="宋体"/>
          <w:szCs w:val="20"/>
        </w:rPr>
        <w:t xml:space="preserve">especially </w:t>
      </w:r>
      <w:r>
        <w:rPr>
          <w:rFonts w:eastAsia="宋体"/>
          <w:szCs w:val="20"/>
          <w:lang w:val="en-GB"/>
        </w:rPr>
        <w:t xml:space="preserve">for AS SRS </w:t>
      </w:r>
      <w:r>
        <w:rPr>
          <w:rFonts w:eastAsia="宋体"/>
          <w:szCs w:val="20"/>
        </w:rPr>
        <w:t xml:space="preserve">transmitted to </w:t>
      </w:r>
      <w:r>
        <w:rPr>
          <w:rFonts w:hint="eastAsia" w:eastAsia="宋体"/>
          <w:szCs w:val="20"/>
        </w:rPr>
        <w:t>Anchor</w:t>
      </w:r>
      <w:r>
        <w:rPr>
          <w:rFonts w:eastAsia="宋体"/>
          <w:szCs w:val="20"/>
        </w:rPr>
        <w:t xml:space="preserve"> TRP for DL CSI acquisition while PUSCH may only </w:t>
      </w:r>
      <w:r>
        <w:rPr>
          <w:rFonts w:hint="eastAsia" w:eastAsia="宋体"/>
          <w:szCs w:val="20"/>
        </w:rPr>
        <w:t xml:space="preserve">be </w:t>
      </w:r>
      <w:r>
        <w:rPr>
          <w:rFonts w:eastAsia="宋体"/>
          <w:szCs w:val="20"/>
        </w:rPr>
        <w:t>transmitted to UL TRP(s), as depicted in Figure 1. Essentially, this is in fact similar to the principle of the legacy Type 3 PHR that is used for AS SRS transmitted for DL CSI acquisition in the serving cell configured with DL transmission only.</w:t>
      </w:r>
    </w:p>
    <w:p>
      <w:pPr>
        <w:adjustRightInd w:val="0"/>
        <w:spacing w:before="180" w:beforeLines="50" w:beforeAutospacing="0" w:after="180"/>
        <w:jc w:val="center"/>
        <w:rPr>
          <w:rFonts w:eastAsia="宋体"/>
          <w:sz w:val="22"/>
          <w:szCs w:val="22"/>
        </w:rPr>
      </w:pPr>
      <w:r>
        <w:rPr>
          <w:rFonts w:hint="eastAsia" w:eastAsia="宋体"/>
          <w:sz w:val="22"/>
          <w:szCs w:val="22"/>
        </w:rPr>
        <w:drawing>
          <wp:inline distT="0" distB="0" distL="114300" distR="114300">
            <wp:extent cx="4367530" cy="1379855"/>
            <wp:effectExtent l="0" t="0" r="0" b="0"/>
            <wp:docPr id="1" name="图片 1" descr="UL TRP_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L TRP_fig1"/>
                    <pic:cNvPicPr>
                      <a:picLocks noChangeAspect="1"/>
                    </pic:cNvPicPr>
                  </pic:nvPicPr>
                  <pic:blipFill>
                    <a:blip r:embed="rId11"/>
                    <a:stretch>
                      <a:fillRect/>
                    </a:stretch>
                  </pic:blipFill>
                  <pic:spPr>
                    <a:xfrm>
                      <a:off x="0" y="0"/>
                      <a:ext cx="4367530" cy="1379855"/>
                    </a:xfrm>
                    <a:prstGeom prst="rect">
                      <a:avLst/>
                    </a:prstGeom>
                  </pic:spPr>
                </pic:pic>
              </a:graphicData>
            </a:graphic>
          </wp:inline>
        </w:drawing>
      </w:r>
    </w:p>
    <w:p>
      <w:pPr>
        <w:adjustRightInd w:val="0"/>
        <w:spacing w:after="180"/>
        <w:jc w:val="center"/>
        <w:rPr>
          <w:rFonts w:eastAsia="宋体"/>
          <w:szCs w:val="20"/>
        </w:rPr>
      </w:pPr>
      <w:r>
        <w:rPr>
          <w:rFonts w:eastAsia="宋体"/>
          <w:b/>
          <w:bCs/>
          <w:szCs w:val="20"/>
        </w:rPr>
        <w:t>Figure 1</w:t>
      </w:r>
      <w:r>
        <w:rPr>
          <w:rFonts w:eastAsia="宋体"/>
          <w:szCs w:val="20"/>
        </w:rPr>
        <w:tab/>
      </w:r>
      <w:r>
        <w:rPr>
          <w:rFonts w:eastAsia="宋体"/>
          <w:szCs w:val="20"/>
        </w:rPr>
        <w:t xml:space="preserve">Type 3 PHR for AS SRS towards to </w:t>
      </w:r>
      <w:r>
        <w:rPr>
          <w:rFonts w:hint="eastAsia" w:eastAsia="宋体"/>
          <w:szCs w:val="20"/>
        </w:rPr>
        <w:t xml:space="preserve">Anchor </w:t>
      </w:r>
      <w:r>
        <w:rPr>
          <w:rFonts w:eastAsia="宋体"/>
          <w:szCs w:val="20"/>
        </w:rPr>
        <w:t>TRP for DL CSI acquisition while PUSCH is configured</w:t>
      </w:r>
    </w:p>
    <w:p>
      <w:pPr>
        <w:adjustRightInd w:val="0"/>
        <w:spacing w:before="180" w:beforeLines="50" w:beforeAutospacing="0" w:after="180"/>
        <w:jc w:val="both"/>
        <w:rPr>
          <w:rFonts w:eastAsia="宋体"/>
          <w:szCs w:val="20"/>
        </w:rPr>
      </w:pPr>
      <w:r>
        <w:rPr>
          <w:rFonts w:eastAsia="宋体"/>
          <w:szCs w:val="20"/>
        </w:rPr>
        <w:t xml:space="preserve">Besides, regarding whether to take PL offset into calculation of Type 3 PHR, it seems not needed due to the lack of practical use case that Type 3 PHR for SRS is assumed to be </w:t>
      </w:r>
      <w:r>
        <w:rPr>
          <w:rFonts w:hint="eastAsia" w:eastAsia="宋体"/>
          <w:szCs w:val="20"/>
        </w:rPr>
        <w:t xml:space="preserve">only </w:t>
      </w:r>
      <w:r>
        <w:rPr>
          <w:rFonts w:eastAsia="宋体"/>
          <w:szCs w:val="20"/>
        </w:rPr>
        <w:t xml:space="preserve">transmitted to </w:t>
      </w:r>
      <w:r>
        <w:rPr>
          <w:rFonts w:hint="eastAsia" w:eastAsia="宋体"/>
          <w:szCs w:val="20"/>
        </w:rPr>
        <w:t>Anchor</w:t>
      </w:r>
      <w:r>
        <w:rPr>
          <w:rFonts w:eastAsia="宋体"/>
          <w:szCs w:val="20"/>
        </w:rPr>
        <w:t xml:space="preserve"> TRP.</w:t>
      </w:r>
    </w:p>
    <w:p>
      <w:pPr>
        <w:adjustRightInd w:val="0"/>
        <w:spacing w:before="180" w:beforeLines="50" w:beforeAutospacing="0" w:after="0" w:afterLines="0"/>
        <w:jc w:val="both"/>
        <w:rPr>
          <w:rFonts w:eastAsia="宋体"/>
          <w:i/>
          <w:iCs/>
          <w:szCs w:val="20"/>
        </w:rPr>
      </w:pPr>
      <w:r>
        <w:rPr>
          <w:rFonts w:eastAsia="宋体"/>
          <w:b/>
          <w:bCs/>
          <w:i/>
          <w:iCs/>
          <w:szCs w:val="20"/>
        </w:rPr>
        <w:t>Proposal 3:</w:t>
      </w:r>
      <w:r>
        <w:rPr>
          <w:rFonts w:eastAsia="宋体"/>
          <w:i/>
          <w:iCs/>
          <w:szCs w:val="20"/>
        </w:rPr>
        <w:t xml:space="preserve"> </w:t>
      </w:r>
      <w:r>
        <w:rPr>
          <w:rFonts w:eastAsia="等线"/>
          <w:i/>
          <w:szCs w:val="20"/>
          <w:lang w:val="en-GB"/>
        </w:rPr>
        <w:t xml:space="preserve">Support </w:t>
      </w:r>
      <w:r>
        <w:rPr>
          <w:rFonts w:eastAsia="等线"/>
          <w:i/>
          <w:szCs w:val="20"/>
        </w:rPr>
        <w:t xml:space="preserve">that </w:t>
      </w:r>
      <w:r>
        <w:rPr>
          <w:rFonts w:eastAsia="宋体"/>
          <w:i/>
          <w:szCs w:val="20"/>
        </w:rPr>
        <w:t>Type 3 PHR can be reported in the serving cell if the UE is configured with two separate SRS CLPC adjustment states</w:t>
      </w:r>
      <w:r>
        <w:rPr>
          <w:rFonts w:eastAsia="宋体"/>
          <w:i/>
          <w:iCs/>
          <w:szCs w:val="20"/>
        </w:rPr>
        <w:t>.</w:t>
      </w:r>
    </w:p>
    <w:p>
      <w:pPr>
        <w:adjustRightInd w:val="0"/>
        <w:spacing w:before="180" w:beforeLines="50" w:beforeAutospacing="0" w:after="180"/>
        <w:jc w:val="both"/>
        <w:rPr>
          <w:rFonts w:eastAsia="宋体"/>
          <w:szCs w:val="20"/>
          <w:lang w:val="en-GB"/>
        </w:rPr>
      </w:pPr>
      <w:r>
        <w:rPr>
          <w:rFonts w:eastAsia="宋体"/>
          <w:szCs w:val="20"/>
          <w:lang w:val="en-GB"/>
        </w:rPr>
        <w:t xml:space="preserve">For the potential extension of PL offset value range to lower than -10dB, it can be considerable especially for the case of UL-only TRP deployment scenario, where </w:t>
      </w:r>
      <w:r>
        <w:rPr>
          <w:rFonts w:hint="eastAsia" w:eastAsia="宋体"/>
          <w:szCs w:val="20"/>
        </w:rPr>
        <w:t xml:space="preserve">Anchor </w:t>
      </w:r>
      <w:r>
        <w:rPr>
          <w:rFonts w:eastAsia="宋体"/>
          <w:szCs w:val="20"/>
        </w:rPr>
        <w:t>TRP can serve both DL and UL transmissions while UL-TRP can only serve UL transmission, as illustrated in Figure 2</w:t>
      </w:r>
      <w:r>
        <w:rPr>
          <w:rFonts w:eastAsia="宋体"/>
          <w:szCs w:val="20"/>
          <w:lang w:val="en-GB"/>
        </w:rPr>
        <w:t xml:space="preserve">. </w:t>
      </w:r>
      <w:r>
        <w:rPr>
          <w:rFonts w:eastAsia="宋体"/>
          <w:szCs w:val="20"/>
        </w:rPr>
        <w:t xml:space="preserve">It is worth noting that </w:t>
      </w:r>
      <w:r>
        <w:rPr>
          <w:rFonts w:eastAsia="等线"/>
          <w:szCs w:val="20"/>
        </w:rPr>
        <w:t xml:space="preserve">UL transmission still towards UL TRP even if UE moves to closer to </w:t>
      </w:r>
      <w:r>
        <w:rPr>
          <w:rFonts w:hint="eastAsia" w:eastAsia="等线"/>
          <w:szCs w:val="20"/>
        </w:rPr>
        <w:t xml:space="preserve">Anchor </w:t>
      </w:r>
      <w:r>
        <w:rPr>
          <w:rFonts w:eastAsia="等线"/>
          <w:szCs w:val="20"/>
        </w:rPr>
        <w:t xml:space="preserve">TRP but </w:t>
      </w:r>
      <w:r>
        <w:rPr>
          <w:rFonts w:hint="eastAsia" w:eastAsia="等线"/>
          <w:szCs w:val="20"/>
        </w:rPr>
        <w:t xml:space="preserve">still </w:t>
      </w:r>
      <w:r>
        <w:rPr>
          <w:rFonts w:eastAsia="等线"/>
          <w:szCs w:val="20"/>
        </w:rPr>
        <w:t xml:space="preserve">under the coverage of UL TRP, which depends on NW scheduling when considering interference in addition to Rx power of UL transmission in TRP and also </w:t>
      </w:r>
      <w:r>
        <w:rPr>
          <w:szCs w:val="20"/>
        </w:rPr>
        <w:t>can serve for heavy UL traffic offloading.</w:t>
      </w:r>
    </w:p>
    <w:p>
      <w:pPr>
        <w:adjustRightInd w:val="0"/>
        <w:spacing w:before="180" w:beforeLines="50" w:beforeAutospacing="0" w:after="180"/>
        <w:jc w:val="center"/>
        <w:rPr>
          <w:rFonts w:eastAsia="宋体"/>
          <w:sz w:val="22"/>
          <w:szCs w:val="22"/>
          <w:lang w:val="en-GB"/>
        </w:rPr>
      </w:pPr>
      <w:r>
        <w:rPr>
          <w:rFonts w:hint="eastAsia" w:eastAsia="宋体"/>
          <w:sz w:val="22"/>
          <w:szCs w:val="22"/>
          <w:lang w:val="en-GB"/>
        </w:rPr>
        <w:drawing>
          <wp:inline distT="0" distB="0" distL="114300" distR="114300">
            <wp:extent cx="4694555" cy="1575435"/>
            <wp:effectExtent l="0" t="0" r="0" b="0"/>
            <wp:docPr id="3" name="图片 3" descr="UL TRP_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L TRP_fig2"/>
                    <pic:cNvPicPr>
                      <a:picLocks noChangeAspect="1"/>
                    </pic:cNvPicPr>
                  </pic:nvPicPr>
                  <pic:blipFill>
                    <a:blip r:embed="rId12"/>
                    <a:stretch>
                      <a:fillRect/>
                    </a:stretch>
                  </pic:blipFill>
                  <pic:spPr>
                    <a:xfrm>
                      <a:off x="0" y="0"/>
                      <a:ext cx="4694555" cy="1575435"/>
                    </a:xfrm>
                    <a:prstGeom prst="rect">
                      <a:avLst/>
                    </a:prstGeom>
                  </pic:spPr>
                </pic:pic>
              </a:graphicData>
            </a:graphic>
          </wp:inline>
        </w:drawing>
      </w:r>
    </w:p>
    <w:p>
      <w:pPr>
        <w:adjustRightInd w:val="0"/>
        <w:spacing w:after="180"/>
        <w:jc w:val="center"/>
        <w:rPr>
          <w:rFonts w:eastAsia="宋体"/>
          <w:szCs w:val="20"/>
        </w:rPr>
      </w:pPr>
      <w:r>
        <w:rPr>
          <w:rFonts w:hint="eastAsia" w:eastAsia="宋体"/>
          <w:b/>
          <w:bCs/>
          <w:szCs w:val="20"/>
        </w:rPr>
        <w:t xml:space="preserve">Figure </w:t>
      </w:r>
      <w:r>
        <w:rPr>
          <w:rFonts w:eastAsia="宋体"/>
          <w:b/>
          <w:bCs/>
          <w:szCs w:val="20"/>
        </w:rPr>
        <w:t>2</w:t>
      </w:r>
      <w:r>
        <w:rPr>
          <w:rFonts w:hint="eastAsia" w:eastAsia="宋体"/>
          <w:szCs w:val="20"/>
        </w:rPr>
        <w:tab/>
      </w:r>
      <w:r>
        <w:rPr>
          <w:rFonts w:eastAsia="宋体"/>
          <w:szCs w:val="20"/>
        </w:rPr>
        <w:t xml:space="preserve">One </w:t>
      </w:r>
      <w:r>
        <w:rPr>
          <w:rFonts w:hint="eastAsia" w:eastAsia="宋体"/>
          <w:szCs w:val="20"/>
        </w:rPr>
        <w:t xml:space="preserve">practical </w:t>
      </w:r>
      <w:r>
        <w:rPr>
          <w:rFonts w:eastAsia="宋体"/>
          <w:szCs w:val="20"/>
          <w:lang w:val="en-GB"/>
        </w:rPr>
        <w:t>asymmetric DL sTRP/UL mTRP deployment scenario: UL-only TRP deployment</w:t>
      </w:r>
    </w:p>
    <w:p>
      <w:pPr>
        <w:spacing w:after="180"/>
        <w:jc w:val="both"/>
        <w:rPr>
          <w:rFonts w:eastAsia="宋体"/>
          <w:szCs w:val="20"/>
        </w:rPr>
      </w:pPr>
      <w:r>
        <w:rPr>
          <w:rFonts w:hint="eastAsia" w:eastAsia="宋体"/>
          <w:szCs w:val="20"/>
        </w:rPr>
        <w:t>Based on</w:t>
      </w:r>
      <w:r>
        <w:rPr>
          <w:rFonts w:eastAsia="宋体"/>
          <w:szCs w:val="20"/>
          <w:lang w:val="en-GB"/>
        </w:rPr>
        <w:t xml:space="preserve"> the </w:t>
      </w:r>
      <w:r>
        <w:rPr>
          <w:rFonts w:eastAsia="宋体"/>
          <w:szCs w:val="20"/>
        </w:rPr>
        <w:t xml:space="preserve">SLS result provided in Figure 3, the value range of PL offset can be {-60, 60} dB in case of UL-only TRP deployment, where </w:t>
      </w:r>
      <w:r>
        <w:rPr>
          <w:rFonts w:eastAsia="宋体"/>
        </w:rPr>
        <w:t>the value of PL offset is set to DL PL – UL PL and other simulation assumptions can be found in [3].</w:t>
      </w:r>
      <w:r>
        <w:rPr>
          <w:rFonts w:eastAsia="宋体"/>
          <w:szCs w:val="20"/>
        </w:rPr>
        <w:t xml:space="preserve"> In a nutshell</w:t>
      </w:r>
      <w:r>
        <w:rPr>
          <w:rFonts w:hint="eastAsia" w:eastAsia="宋体"/>
          <w:szCs w:val="20"/>
        </w:rPr>
        <w:t>,</w:t>
      </w:r>
      <w:r>
        <w:rPr>
          <w:rFonts w:eastAsia="宋体"/>
          <w:szCs w:val="20"/>
        </w:rPr>
        <w:t xml:space="preserve"> lower to -60 dB can be taken into consideration of the potential extension of PL offset value range.</w:t>
      </w:r>
    </w:p>
    <w:p>
      <w:pPr>
        <w:adjustRightInd w:val="0"/>
        <w:spacing w:before="180" w:beforeLines="50" w:beforeAutospacing="0" w:after="180"/>
        <w:jc w:val="center"/>
        <w:rPr>
          <w:rFonts w:eastAsia="宋体"/>
          <w:sz w:val="22"/>
          <w:szCs w:val="22"/>
        </w:rPr>
      </w:pPr>
      <w:r>
        <w:rPr>
          <w:rFonts w:eastAsia="宋体"/>
          <w:sz w:val="22"/>
          <w:szCs w:val="22"/>
          <w:lang w:val="en-GB"/>
        </w:rPr>
        <mc:AlternateContent>
          <mc:Choice Requires="wps">
            <w:drawing>
              <wp:anchor distT="45720" distB="45720" distL="114300" distR="114300" simplePos="0" relativeHeight="251659264" behindDoc="0" locked="0" layoutInCell="1" allowOverlap="1">
                <wp:simplePos x="0" y="0"/>
                <wp:positionH relativeFrom="column">
                  <wp:posOffset>3971290</wp:posOffset>
                </wp:positionH>
                <wp:positionV relativeFrom="paragraph">
                  <wp:posOffset>1143000</wp:posOffset>
                </wp:positionV>
                <wp:extent cx="426720" cy="251460"/>
                <wp:effectExtent l="0" t="0" r="0" b="0"/>
                <wp:wrapNone/>
                <wp:docPr id="1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26720" cy="251460"/>
                        </a:xfrm>
                        <a:prstGeom prst="rect">
                          <a:avLst/>
                        </a:prstGeom>
                        <a:noFill/>
                        <a:ln w="9525">
                          <a:noFill/>
                          <a:miter lim="800000"/>
                        </a:ln>
                      </wps:spPr>
                      <wps:txbx>
                        <w:txbxContent>
                          <w:p>
                            <w:pPr>
                              <w:spacing w:after="180"/>
                              <w:rPr>
                                <w:b/>
                              </w:rPr>
                            </w:pPr>
                            <w:r>
                              <w:rPr>
                                <w:b/>
                              </w:rPr>
                              <w:t>FR2</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12.7pt;margin-top:90pt;height:19.8pt;width:33.6pt;z-index:251659264;mso-width-relative:page;mso-height-relative:page;" filled="f" stroked="f" coordsize="21600,21600" o:gfxdata="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Ef5zWnX&#10;AAAACwEAAA8AAAAAAAAAAQAgAAAAIgAAAGRycy9kb3ducmV2LnhtbFBLAQIUABQAAAAIAIdO4kB/&#10;p7GjIQIAACkEAAAOAAAAAAAAAAEAIAAAACYBAABkcnMvZTJvRG9jLnhtbFBLBQYAAAAABgAGAFkB&#10;AAC5BQAAAAA=&#10;">
                <v:fill on="f" focussize="0,0"/>
                <v:stroke on="f" miterlimit="8" joinstyle="miter"/>
                <v:imagedata o:title=""/>
                <o:lock v:ext="edit" aspectratio="f"/>
                <v:textbox>
                  <w:txbxContent>
                    <w:p>
                      <w:pPr>
                        <w:spacing w:after="180"/>
                        <w:rPr>
                          <w:b/>
                        </w:rPr>
                      </w:pPr>
                      <w:r>
                        <w:rPr>
                          <w:b/>
                        </w:rPr>
                        <w:t>FR2</w:t>
                      </w:r>
                    </w:p>
                  </w:txbxContent>
                </v:textbox>
              </v:shape>
            </w:pict>
          </mc:Fallback>
        </mc:AlternateContent>
      </w:r>
      <w:r>
        <w:rPr>
          <w:rFonts w:eastAsia="宋体"/>
          <w:sz w:val="22"/>
          <w:szCs w:val="22"/>
          <w:lang w:val="en-GB"/>
        </w:rPr>
        <mc:AlternateContent>
          <mc:Choice Requires="wps">
            <w:drawing>
              <wp:anchor distT="45720" distB="45720" distL="114300" distR="114300" simplePos="0" relativeHeight="251660288" behindDoc="0" locked="0" layoutInCell="1" allowOverlap="1">
                <wp:simplePos x="0" y="0"/>
                <wp:positionH relativeFrom="column">
                  <wp:posOffset>1070610</wp:posOffset>
                </wp:positionH>
                <wp:positionV relativeFrom="paragraph">
                  <wp:posOffset>1149985</wp:posOffset>
                </wp:positionV>
                <wp:extent cx="426720" cy="251460"/>
                <wp:effectExtent l="0" t="0" r="0" b="0"/>
                <wp:wrapNone/>
                <wp:docPr id="1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26720" cy="251460"/>
                        </a:xfrm>
                        <a:prstGeom prst="rect">
                          <a:avLst/>
                        </a:prstGeom>
                        <a:noFill/>
                        <a:ln w="9525">
                          <a:noFill/>
                          <a:miter lim="800000"/>
                        </a:ln>
                      </wps:spPr>
                      <wps:txbx>
                        <w:txbxContent>
                          <w:p>
                            <w:pPr>
                              <w:spacing w:after="180"/>
                              <w:rPr>
                                <w:b/>
                              </w:rPr>
                            </w:pPr>
                            <w:r>
                              <w:rPr>
                                <w:b/>
                              </w:rPr>
                              <w:t>FR1</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84.3pt;margin-top:90.55pt;height:19.8pt;width:33.6pt;z-index:251660288;mso-width-relative:page;mso-height-relative:page;" filled="f" stroked="f" coordsize="21600,21600" o:gfxdata="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AxaUEjX&#10;AAAACwEAAA8AAAAAAAAAAQAgAAAAIgAAAGRycy9kb3ducmV2LnhtbFBLAQIUABQAAAAIAIdO4kC3&#10;/XQsIQIAACkEAAAOAAAAAAAAAAEAIAAAACYBAABkcnMvZTJvRG9jLnhtbFBLBQYAAAAABgAGAFkB&#10;AAC5BQAAAAA=&#10;">
                <v:fill on="f" focussize="0,0"/>
                <v:stroke on="f" miterlimit="8" joinstyle="miter"/>
                <v:imagedata o:title=""/>
                <o:lock v:ext="edit" aspectratio="f"/>
                <v:textbox>
                  <w:txbxContent>
                    <w:p>
                      <w:pPr>
                        <w:spacing w:after="180"/>
                        <w:rPr>
                          <w:b/>
                        </w:rPr>
                      </w:pPr>
                      <w:r>
                        <w:rPr>
                          <w:b/>
                        </w:rPr>
                        <w:t>FR1</w:t>
                      </w:r>
                    </w:p>
                  </w:txbxContent>
                </v:textbox>
              </v:shape>
            </w:pict>
          </mc:Fallback>
        </mc:AlternateContent>
      </w:r>
      <w:r>
        <w:drawing>
          <wp:inline distT="0" distB="0" distL="0" distR="0">
            <wp:extent cx="2544445" cy="2171700"/>
            <wp:effectExtent l="0" t="0" r="635" b="7620"/>
            <wp:docPr id="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
                    <pic:cNvPicPr>
                      <a:picLocks noChangeAspect="1"/>
                    </pic:cNvPicPr>
                  </pic:nvPicPr>
                  <pic:blipFill>
                    <a:blip r:embed="rId13"/>
                    <a:srcRect l="4549" r="7509"/>
                    <a:stretch>
                      <a:fillRect/>
                    </a:stretch>
                  </pic:blipFill>
                  <pic:spPr>
                    <a:xfrm>
                      <a:off x="0" y="0"/>
                      <a:ext cx="2545763" cy="2173219"/>
                    </a:xfrm>
                    <a:prstGeom prst="rect">
                      <a:avLst/>
                    </a:prstGeom>
                    <a:noFill/>
                    <a:ln>
                      <a:noFill/>
                    </a:ln>
                  </pic:spPr>
                </pic:pic>
              </a:graphicData>
            </a:graphic>
          </wp:inline>
        </w:drawing>
      </w:r>
      <w:r>
        <w:rPr>
          <w:rFonts w:eastAsia="宋体"/>
          <w:sz w:val="22"/>
          <w:szCs w:val="22"/>
        </w:rPr>
        <w:t xml:space="preserve">    </w:t>
      </w:r>
      <w:r>
        <w:drawing>
          <wp:inline distT="0" distB="0" distL="0" distR="0">
            <wp:extent cx="2545715" cy="2178050"/>
            <wp:effectExtent l="0" t="0" r="14605" b="1270"/>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pic:cNvPicPr>
                      <a:picLocks noChangeAspect="1"/>
                    </pic:cNvPicPr>
                  </pic:nvPicPr>
                  <pic:blipFill>
                    <a:blip r:embed="rId14"/>
                    <a:srcRect l="4120" r="7627"/>
                    <a:stretch>
                      <a:fillRect/>
                    </a:stretch>
                  </pic:blipFill>
                  <pic:spPr>
                    <a:xfrm>
                      <a:off x="0" y="0"/>
                      <a:ext cx="2549477" cy="2181382"/>
                    </a:xfrm>
                    <a:prstGeom prst="rect">
                      <a:avLst/>
                    </a:prstGeom>
                    <a:noFill/>
                    <a:ln>
                      <a:noFill/>
                    </a:ln>
                  </pic:spPr>
                </pic:pic>
              </a:graphicData>
            </a:graphic>
          </wp:inline>
        </w:drawing>
      </w:r>
    </w:p>
    <w:p>
      <w:pPr>
        <w:adjustRightInd w:val="0"/>
        <w:spacing w:after="180"/>
        <w:jc w:val="center"/>
        <w:rPr>
          <w:rFonts w:eastAsia="宋体"/>
          <w:szCs w:val="20"/>
        </w:rPr>
      </w:pPr>
      <w:r>
        <w:rPr>
          <w:rFonts w:eastAsia="宋体"/>
          <w:b/>
          <w:bCs/>
          <w:szCs w:val="20"/>
        </w:rPr>
        <w:t>Figure 3</w:t>
      </w:r>
      <w:r>
        <w:rPr>
          <w:rFonts w:eastAsia="宋体"/>
          <w:szCs w:val="20"/>
        </w:rPr>
        <w:tab/>
      </w:r>
      <w:r>
        <w:rPr>
          <w:rFonts w:eastAsia="宋体"/>
          <w:szCs w:val="20"/>
        </w:rPr>
        <w:t xml:space="preserve">SLS results of PL offset between </w:t>
      </w:r>
      <w:r>
        <w:rPr>
          <w:rFonts w:hint="eastAsia" w:eastAsia="宋体"/>
          <w:szCs w:val="20"/>
        </w:rPr>
        <w:t xml:space="preserve">Anchor </w:t>
      </w:r>
      <w:r>
        <w:rPr>
          <w:rFonts w:eastAsia="宋体"/>
          <w:szCs w:val="20"/>
        </w:rPr>
        <w:t>TRP and UL TRP in UL-only deployment scenario</w:t>
      </w:r>
    </w:p>
    <w:p>
      <w:pPr>
        <w:adjustRightInd w:val="0"/>
        <w:spacing w:before="180" w:beforeLines="50" w:beforeAutospacing="0" w:after="180"/>
        <w:jc w:val="both"/>
        <w:rPr>
          <w:rFonts w:eastAsia="宋体"/>
          <w:szCs w:val="20"/>
        </w:rPr>
      </w:pPr>
      <w:r>
        <w:rPr>
          <w:rFonts w:eastAsia="宋体"/>
          <w:szCs w:val="20"/>
        </w:rPr>
        <w:t xml:space="preserve">At the very least, lower to -12 dB should be introduced for </w:t>
      </w:r>
      <w:r>
        <w:rPr>
          <w:rFonts w:eastAsia="宋体"/>
          <w:szCs w:val="20"/>
          <w:lang w:val="en-GB"/>
        </w:rPr>
        <w:t>the potential extension of PL offset value range. Otherwise, it may encounter a mistake of RRC configuration caused by the agreed value range is [-10, 60] dB but the step size is 4 dB.</w:t>
      </w:r>
    </w:p>
    <w:p>
      <w:pPr>
        <w:adjustRightInd w:val="0"/>
        <w:spacing w:before="180" w:beforeLines="50" w:beforeAutospacing="0" w:after="0" w:afterLines="0"/>
        <w:jc w:val="both"/>
        <w:rPr>
          <w:rFonts w:eastAsia="宋体"/>
          <w:i/>
          <w:iCs/>
          <w:szCs w:val="20"/>
        </w:rPr>
      </w:pPr>
      <w:r>
        <w:rPr>
          <w:rFonts w:eastAsia="宋体"/>
          <w:b/>
          <w:bCs/>
          <w:i/>
          <w:iCs/>
          <w:szCs w:val="20"/>
        </w:rPr>
        <w:t xml:space="preserve">Proposal 4: </w:t>
      </w:r>
      <w:r>
        <w:rPr>
          <w:rFonts w:eastAsia="等线"/>
          <w:i/>
          <w:szCs w:val="20"/>
          <w:lang w:val="en-GB"/>
        </w:rPr>
        <w:t xml:space="preserve">Support to extend the value range of PL offset </w:t>
      </w:r>
      <w:r>
        <w:rPr>
          <w:rFonts w:hint="eastAsia" w:eastAsia="等线"/>
          <w:i/>
          <w:szCs w:val="20"/>
        </w:rPr>
        <w:t xml:space="preserve">lower </w:t>
      </w:r>
      <w:r>
        <w:rPr>
          <w:rFonts w:eastAsia="等线"/>
          <w:i/>
          <w:szCs w:val="20"/>
          <w:lang w:val="en-GB"/>
        </w:rPr>
        <w:t>to at least one of the following options:</w:t>
      </w:r>
    </w:p>
    <w:p>
      <w:pPr>
        <w:pStyle w:val="52"/>
        <w:numPr>
          <w:ilvl w:val="0"/>
          <w:numId w:val="11"/>
        </w:numPr>
        <w:spacing w:before="0" w:beforeLines="0" w:after="0" w:afterLines="0" w:line="240" w:lineRule="auto"/>
        <w:ind w:leftChars="0"/>
        <w:rPr>
          <w:rFonts w:ascii="Times New Roman" w:hAnsi="Times New Roman" w:eastAsia="宋体"/>
          <w:i/>
          <w:szCs w:val="20"/>
        </w:rPr>
      </w:pPr>
      <w:r>
        <w:rPr>
          <w:rFonts w:ascii="Times New Roman" w:hAnsi="Times New Roman" w:eastAsia="宋体"/>
          <w:i/>
          <w:iCs/>
          <w:szCs w:val="20"/>
        </w:rPr>
        <w:t>Option 1: -60 dB</w:t>
      </w:r>
      <w:r>
        <w:rPr>
          <w:rFonts w:ascii="Times New Roman" w:hAnsi="Times New Roman" w:eastAsia="宋体"/>
          <w:i/>
          <w:szCs w:val="20"/>
        </w:rPr>
        <w:t>.</w:t>
      </w:r>
    </w:p>
    <w:p>
      <w:pPr>
        <w:pStyle w:val="52"/>
        <w:numPr>
          <w:ilvl w:val="0"/>
          <w:numId w:val="11"/>
        </w:numPr>
        <w:spacing w:before="0" w:beforeLines="0" w:after="0" w:afterLines="0" w:line="240" w:lineRule="auto"/>
        <w:ind w:leftChars="0"/>
        <w:rPr>
          <w:rFonts w:ascii="Times New Roman" w:hAnsi="Times New Roman" w:eastAsia="宋体"/>
          <w:i/>
          <w:szCs w:val="20"/>
        </w:rPr>
      </w:pPr>
      <w:r>
        <w:rPr>
          <w:rFonts w:ascii="Times New Roman" w:hAnsi="Times New Roman" w:eastAsia="宋体"/>
          <w:i/>
          <w:szCs w:val="20"/>
        </w:rPr>
        <w:t>Option 2: -12 dB.</w:t>
      </w:r>
    </w:p>
    <w:p>
      <w:pPr>
        <w:pStyle w:val="2"/>
        <w:keepNext/>
        <w:tabs>
          <w:tab w:val="left" w:pos="3686"/>
          <w:tab w:val="left" w:pos="4536"/>
        </w:tabs>
        <w:spacing w:before="360" w:beforeLines="100" w:after="180" w:line="240" w:lineRule="auto"/>
        <w:textAlignment w:val="baseline"/>
        <w:rPr>
          <w:lang w:val="en-US"/>
        </w:rPr>
      </w:pPr>
      <w:r>
        <w:rPr>
          <w:rFonts w:hint="eastAsia"/>
          <w:lang w:val="en-US"/>
        </w:rPr>
        <w:t>Two separate closed loops for SRS</w:t>
      </w:r>
    </w:p>
    <w:p>
      <w:pPr>
        <w:adjustRightInd w:val="0"/>
        <w:spacing w:before="180" w:beforeLines="50" w:beforeAutospacing="0" w:after="180"/>
        <w:jc w:val="both"/>
        <w:rPr>
          <w:rFonts w:eastAsia="宋体"/>
          <w:szCs w:val="20"/>
        </w:rPr>
      </w:pPr>
      <w:r>
        <w:rPr>
          <w:rFonts w:eastAsia="宋体"/>
          <w:szCs w:val="20"/>
        </w:rPr>
        <w:t>In RAN1#118 meeting, the following agreements were reached for the issue of supporting two separate SRS CLPC adjustment states [</w:t>
      </w:r>
      <w:r>
        <w:rPr>
          <w:rFonts w:hint="eastAsia" w:eastAsia="宋体"/>
          <w:szCs w:val="20"/>
        </w:rPr>
        <w:t>2</w:t>
      </w:r>
      <w:r>
        <w:rPr>
          <w:rFonts w:eastAsia="宋体"/>
          <w:szCs w:val="20"/>
        </w:rPr>
        <w:t>].</w:t>
      </w:r>
    </w:p>
    <w:tbl>
      <w:tblPr>
        <w:tblStyle w:val="29"/>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5" w:type="dxa"/>
          </w:tcPr>
          <w:p>
            <w:pPr>
              <w:spacing w:beforeAutospacing="0" w:after="0" w:afterLines="0"/>
              <w:rPr>
                <w:rFonts w:ascii="Times" w:hAnsi="Times" w:eastAsia="Batang"/>
                <w:b/>
                <w:bCs/>
                <w:lang w:eastAsia="en-US"/>
              </w:rPr>
            </w:pPr>
            <w:r>
              <w:rPr>
                <w:rFonts w:ascii="Times" w:hAnsi="Times" w:eastAsia="Batang"/>
                <w:b/>
                <w:bCs/>
                <w:highlight w:val="green"/>
                <w:lang w:eastAsia="en-US"/>
              </w:rPr>
              <w:t>Agreement</w:t>
            </w:r>
          </w:p>
          <w:p>
            <w:pPr>
              <w:spacing w:beforeAutospacing="0" w:after="0" w:afterLines="0"/>
              <w:rPr>
                <w:rFonts w:ascii="Times" w:hAnsi="Times" w:eastAsia="等线"/>
                <w:szCs w:val="20"/>
                <w:lang w:val="en-CA"/>
              </w:rPr>
            </w:pPr>
            <w:r>
              <w:rPr>
                <w:rFonts w:ascii="Times" w:hAnsi="Times" w:eastAsia="等线"/>
                <w:szCs w:val="20"/>
                <w:lang w:val="en-CA"/>
              </w:rPr>
              <w:t>About the extended value range 1~X of starting bit of blocks in DCI format 2_3 in Rel-19, down-select one from the following Alts in RAN1#118bis:</w:t>
            </w:r>
          </w:p>
          <w:p>
            <w:pPr>
              <w:numPr>
                <w:ilvl w:val="0"/>
                <w:numId w:val="12"/>
              </w:numPr>
              <w:spacing w:beforeAutospacing="0" w:after="0" w:afterLines="0"/>
              <w:jc w:val="both"/>
              <w:rPr>
                <w:rFonts w:ascii="Times" w:hAnsi="Times" w:eastAsia="等线"/>
                <w:szCs w:val="20"/>
                <w:lang w:val="en-CA"/>
              </w:rPr>
            </w:pPr>
            <w:r>
              <w:rPr>
                <w:rFonts w:ascii="Times" w:hAnsi="Times" w:eastAsia="等线"/>
                <w:szCs w:val="20"/>
                <w:lang w:val="en-CA"/>
              </w:rPr>
              <w:t>Alt1: X = 45 (to be captured in RAN2 spec)</w:t>
            </w:r>
          </w:p>
          <w:p>
            <w:pPr>
              <w:numPr>
                <w:ilvl w:val="1"/>
                <w:numId w:val="12"/>
              </w:numPr>
              <w:spacing w:beforeAutospacing="0" w:after="0" w:afterLines="0"/>
              <w:jc w:val="both"/>
              <w:rPr>
                <w:rFonts w:ascii="Times" w:hAnsi="Times" w:eastAsia="等线"/>
                <w:szCs w:val="20"/>
                <w:lang w:val="en-CA"/>
              </w:rPr>
            </w:pPr>
            <w:r>
              <w:rPr>
                <w:rFonts w:ascii="Times" w:hAnsi="Times" w:eastAsia="等线"/>
                <w:szCs w:val="20"/>
                <w:lang w:val="en-CA"/>
              </w:rPr>
              <w:t>This feature is a separate UE capability and is appliable to any rel-19 UE who supports this UE capability, regardless this UE supports two separate SRS CLPC adjustment states or not.</w:t>
            </w:r>
          </w:p>
          <w:p>
            <w:pPr>
              <w:numPr>
                <w:ilvl w:val="1"/>
                <w:numId w:val="12"/>
              </w:numPr>
              <w:spacing w:beforeAutospacing="0" w:after="0" w:afterLines="0"/>
              <w:jc w:val="both"/>
              <w:rPr>
                <w:rFonts w:ascii="Times" w:hAnsi="Times" w:eastAsia="等线"/>
                <w:szCs w:val="20"/>
                <w:lang w:val="en-CA"/>
              </w:rPr>
            </w:pPr>
            <w:r>
              <w:rPr>
                <w:rFonts w:ascii="Times" w:hAnsi="Times" w:eastAsia="等线"/>
                <w:szCs w:val="20"/>
                <w:lang w:val="en-CA"/>
              </w:rPr>
              <w:t xml:space="preserve">Note: X=45 can be used for operations in FR1 in shared spectrum or FR2-2 and X = 43 otherwise </w:t>
            </w:r>
          </w:p>
          <w:p>
            <w:pPr>
              <w:numPr>
                <w:ilvl w:val="0"/>
                <w:numId w:val="12"/>
              </w:numPr>
              <w:spacing w:beforeAutospacing="0" w:after="0" w:afterLines="0"/>
              <w:jc w:val="both"/>
              <w:rPr>
                <w:rFonts w:ascii="Times" w:hAnsi="Times" w:eastAsia="等线"/>
                <w:szCs w:val="20"/>
                <w:lang w:val="en-CA"/>
              </w:rPr>
            </w:pPr>
            <w:r>
              <w:rPr>
                <w:rFonts w:ascii="Times" w:hAnsi="Times" w:eastAsia="等线"/>
                <w:szCs w:val="20"/>
                <w:lang w:val="en-CA"/>
              </w:rPr>
              <w:t>Alt2: X = 44 (to be captured in RAN2 spec)</w:t>
            </w:r>
          </w:p>
          <w:p>
            <w:pPr>
              <w:numPr>
                <w:ilvl w:val="1"/>
                <w:numId w:val="12"/>
              </w:numPr>
              <w:spacing w:beforeAutospacing="0" w:after="0" w:afterLines="0"/>
              <w:jc w:val="both"/>
              <w:rPr>
                <w:rFonts w:ascii="Times" w:hAnsi="Times" w:eastAsia="等线"/>
                <w:szCs w:val="20"/>
                <w:lang w:val="en-CA"/>
              </w:rPr>
            </w:pPr>
            <w:r>
              <w:rPr>
                <w:rFonts w:ascii="Times" w:hAnsi="Times" w:eastAsia="等线"/>
                <w:szCs w:val="20"/>
                <w:lang w:val="en-CA"/>
              </w:rPr>
              <w:t>This feature is only applicable to UE who is configured with two separate SRS CLPC adjustment states.</w:t>
            </w:r>
          </w:p>
          <w:p>
            <w:pPr>
              <w:numPr>
                <w:ilvl w:val="1"/>
                <w:numId w:val="12"/>
              </w:numPr>
              <w:spacing w:beforeAutospacing="0" w:after="0" w:afterLines="0"/>
              <w:jc w:val="both"/>
              <w:rPr>
                <w:rFonts w:ascii="Times" w:hAnsi="Times" w:eastAsia="等线"/>
                <w:szCs w:val="20"/>
                <w:lang w:val="en-CA"/>
              </w:rPr>
            </w:pPr>
            <w:r>
              <w:rPr>
                <w:rFonts w:ascii="Times" w:hAnsi="Times" w:eastAsia="等线"/>
                <w:szCs w:val="20"/>
                <w:lang w:val="en-CA"/>
              </w:rPr>
              <w:t>Note: X=44 can be used for operations in FR1 in shared spectrum for FR2-2 and X = 42 otherwise</w:t>
            </w:r>
          </w:p>
          <w:p>
            <w:pPr>
              <w:numPr>
                <w:ilvl w:val="0"/>
                <w:numId w:val="12"/>
              </w:numPr>
              <w:spacing w:beforeAutospacing="0" w:after="0" w:afterLines="0"/>
              <w:jc w:val="both"/>
              <w:rPr>
                <w:rFonts w:ascii="Times" w:hAnsi="Times" w:eastAsia="等线"/>
                <w:szCs w:val="20"/>
                <w:lang w:val="en-CA"/>
              </w:rPr>
            </w:pPr>
            <w:r>
              <w:rPr>
                <w:rFonts w:hint="eastAsia" w:ascii="Times" w:hAnsi="Times" w:eastAsia="Malgun Gothic"/>
                <w:szCs w:val="20"/>
                <w:lang w:val="en-CA" w:eastAsia="ko-KR"/>
              </w:rPr>
              <w:t>A</w:t>
            </w:r>
            <w:r>
              <w:rPr>
                <w:rFonts w:ascii="Times" w:hAnsi="Times" w:eastAsia="Malgun Gothic"/>
                <w:szCs w:val="20"/>
                <w:lang w:val="en-CA" w:eastAsia="ko-KR"/>
              </w:rPr>
              <w:t xml:space="preserve">bove extended value range is applied to </w:t>
            </w:r>
            <w:r>
              <w:rPr>
                <w:rFonts w:ascii="Times" w:hAnsi="Times" w:eastAsia="Batang"/>
                <w:i/>
                <w:szCs w:val="20"/>
                <w:lang w:val="en-GB"/>
              </w:rPr>
              <w:t>startingBitOfFormat2-3</w:t>
            </w:r>
            <w:r>
              <w:rPr>
                <w:rFonts w:ascii="Times" w:hAnsi="Times" w:eastAsia="Malgun Gothic"/>
                <w:szCs w:val="20"/>
                <w:lang w:val="en-CA" w:eastAsia="ko-KR"/>
              </w:rPr>
              <w:t>.</w:t>
            </w:r>
          </w:p>
          <w:p>
            <w:pPr>
              <w:spacing w:beforeAutospacing="0" w:after="0" w:afterLines="0"/>
              <w:rPr>
                <w:rFonts w:eastAsia="等线"/>
                <w:szCs w:val="20"/>
                <w:lang w:val="en-CA" w:eastAsia="en-US"/>
              </w:rPr>
            </w:pPr>
          </w:p>
          <w:p>
            <w:pPr>
              <w:spacing w:beforeAutospacing="0" w:after="0" w:afterLines="0"/>
              <w:rPr>
                <w:rFonts w:ascii="Times" w:hAnsi="Times" w:eastAsia="Batang"/>
                <w:b/>
                <w:bCs/>
                <w:lang w:eastAsia="en-US"/>
              </w:rPr>
            </w:pPr>
            <w:r>
              <w:rPr>
                <w:rFonts w:ascii="Times" w:hAnsi="Times" w:eastAsia="Batang"/>
                <w:b/>
                <w:bCs/>
                <w:highlight w:val="green"/>
                <w:lang w:eastAsia="en-US"/>
              </w:rPr>
              <w:t>Agreement</w:t>
            </w:r>
          </w:p>
          <w:p>
            <w:pPr>
              <w:numPr>
                <w:ilvl w:val="0"/>
                <w:numId w:val="13"/>
              </w:numPr>
              <w:spacing w:beforeAutospacing="0" w:after="0" w:afterLines="0"/>
              <w:jc w:val="both"/>
              <w:rPr>
                <w:rFonts w:ascii="Times" w:hAnsi="Times" w:eastAsia="等线"/>
                <w:szCs w:val="20"/>
                <w:lang w:val="en-CA"/>
              </w:rPr>
            </w:pPr>
            <w:r>
              <w:rPr>
                <w:rFonts w:ascii="Times" w:hAnsi="Times" w:eastAsia="等线"/>
                <w:szCs w:val="20"/>
                <w:lang w:val="en-CA"/>
              </w:rPr>
              <w:t>Study whether/how to apply PL offset for SRS resource set when the SRS resource set is not configured with TCI state</w:t>
            </w:r>
          </w:p>
          <w:p>
            <w:pPr>
              <w:numPr>
                <w:ilvl w:val="0"/>
                <w:numId w:val="13"/>
              </w:numPr>
              <w:spacing w:beforeAutospacing="0" w:after="0" w:afterLines="0"/>
              <w:jc w:val="both"/>
              <w:rPr>
                <w:rFonts w:ascii="Times" w:hAnsi="Times" w:eastAsia="等线"/>
                <w:szCs w:val="20"/>
                <w:lang w:val="en-CA"/>
              </w:rPr>
            </w:pPr>
            <w:r>
              <w:rPr>
                <w:rFonts w:ascii="Times" w:hAnsi="Times" w:eastAsia="等线"/>
                <w:szCs w:val="20"/>
                <w:lang w:val="en-CA"/>
              </w:rPr>
              <w:t>Study whether/how to apply one of the two separate SRS CLPC adjustment states on the SRS resource set when the SRS resource set is not configured with TCI state</w:t>
            </w:r>
          </w:p>
          <w:p>
            <w:pPr>
              <w:numPr>
                <w:ilvl w:val="1"/>
                <w:numId w:val="13"/>
              </w:numPr>
              <w:spacing w:beforeAutospacing="0" w:after="0" w:afterLines="0"/>
              <w:jc w:val="both"/>
              <w:rPr>
                <w:rFonts w:ascii="Times" w:hAnsi="Times" w:eastAsia="等线"/>
                <w:szCs w:val="20"/>
                <w:lang w:val="en-CA"/>
              </w:rPr>
            </w:pPr>
            <w:r>
              <w:rPr>
                <w:rFonts w:ascii="Times" w:hAnsi="Times" w:eastAsia="等线"/>
                <w:szCs w:val="20"/>
                <w:lang w:val="en-CA"/>
              </w:rPr>
              <w:t>E.g., defining i0 as the default CLPC for SRS resource set in this case. E.g,, configure one of the separate SRS CLPC adjustment states to the SRS resource set.</w:t>
            </w:r>
          </w:p>
        </w:tc>
      </w:tr>
    </w:tbl>
    <w:p>
      <w:pPr>
        <w:adjustRightInd w:val="0"/>
        <w:spacing w:before="180" w:beforeLines="50" w:beforeAutospacing="0" w:after="0" w:afterLines="0"/>
        <w:jc w:val="both"/>
        <w:rPr>
          <w:rFonts w:eastAsia="宋体"/>
          <w:szCs w:val="20"/>
        </w:rPr>
      </w:pPr>
      <w:r>
        <w:rPr>
          <w:rFonts w:eastAsia="宋体"/>
          <w:szCs w:val="20"/>
        </w:rPr>
        <w:t xml:space="preserve">Regarding the two alternatives for the extend value range 1~X of starting bit of blocks in DCI format 2_3, it is worth to be noticed that the main reason for this extension is </w:t>
      </w:r>
      <w:r>
        <w:rPr>
          <w:rFonts w:hint="eastAsia" w:eastAsia="宋体"/>
          <w:szCs w:val="20"/>
        </w:rPr>
        <w:t xml:space="preserve">that, </w:t>
      </w:r>
      <w:r>
        <w:rPr>
          <w:rFonts w:eastAsia="宋体"/>
          <w:szCs w:val="20"/>
        </w:rPr>
        <w:t>a 1-bit closed-loop indicator field is newly</w:t>
      </w:r>
      <w:r>
        <w:rPr>
          <w:rFonts w:hint="eastAsia" w:eastAsia="宋体"/>
          <w:szCs w:val="20"/>
        </w:rPr>
        <w:t>/additionally</w:t>
      </w:r>
      <w:r>
        <w:rPr>
          <w:rFonts w:eastAsia="宋体"/>
          <w:szCs w:val="20"/>
        </w:rPr>
        <w:t xml:space="preserve"> introduced to each block in DCI format 2_3 only when two separated SRS CLPC adjustment states are configured for asymmetric </w:t>
      </w:r>
      <w:r>
        <w:rPr>
          <w:rFonts w:hint="eastAsia" w:eastAsia="宋体"/>
          <w:szCs w:val="20"/>
        </w:rPr>
        <w:t>DL</w:t>
      </w:r>
      <w:r>
        <w:rPr>
          <w:rFonts w:eastAsia="宋体"/>
          <w:szCs w:val="20"/>
        </w:rPr>
        <w:t xml:space="preserve"> sTRP/UL mTRP deployment scenarios. In this sense, Alt2 is totally inline with this motivation. By comparison, although Alt1 may provide schedule flexibility with respect to multiplex more UEs by DCI format 2_3, i.e., </w:t>
      </w:r>
      <w:r>
        <w:rPr>
          <w:rFonts w:ascii="Times" w:hAnsi="Times" w:eastAsia="等线"/>
          <w:szCs w:val="20"/>
          <w:lang w:val="en-CA"/>
        </w:rPr>
        <w:t>regardless the UE supports two separate SRS CLPC adjustment states or not</w:t>
      </w:r>
      <w:r>
        <w:rPr>
          <w:rFonts w:eastAsia="宋体"/>
          <w:szCs w:val="20"/>
        </w:rPr>
        <w:t>, it is somehow not in scope of</w:t>
      </w:r>
      <w:r>
        <w:rPr>
          <w:rFonts w:hint="eastAsia" w:eastAsia="宋体"/>
          <w:szCs w:val="20"/>
        </w:rPr>
        <w:t xml:space="preserve"> </w:t>
      </w:r>
      <w:r>
        <w:rPr>
          <w:rFonts w:eastAsia="宋体"/>
          <w:szCs w:val="20"/>
        </w:rPr>
        <w:t>the WID.</w:t>
      </w:r>
    </w:p>
    <w:p>
      <w:pPr>
        <w:adjustRightInd w:val="0"/>
        <w:spacing w:before="180" w:beforeLines="50" w:beforeAutospacing="0" w:after="0" w:afterLines="0"/>
        <w:jc w:val="both"/>
        <w:rPr>
          <w:rFonts w:eastAsia="宋体"/>
          <w:i/>
          <w:iCs/>
          <w:szCs w:val="20"/>
        </w:rPr>
      </w:pPr>
      <w:r>
        <w:rPr>
          <w:rFonts w:eastAsia="宋体"/>
          <w:b/>
          <w:bCs/>
          <w:i/>
          <w:iCs/>
          <w:szCs w:val="20"/>
        </w:rPr>
        <w:t xml:space="preserve">Proposal 5: </w:t>
      </w:r>
      <w:r>
        <w:rPr>
          <w:rFonts w:eastAsia="宋体"/>
          <w:i/>
          <w:szCs w:val="20"/>
        </w:rPr>
        <w:t>For the extend value range 1~X of starting bit of blocks in DCI format 2_3 in Rel-19, support X=44 when two separated SRS CLPC adjustment states are configured in a BWP/CC (Alt2).</w:t>
      </w:r>
    </w:p>
    <w:p>
      <w:pPr>
        <w:adjustRightInd w:val="0"/>
        <w:spacing w:before="180" w:beforeLines="50" w:beforeAutospacing="0" w:after="0" w:afterLines="0"/>
        <w:jc w:val="both"/>
        <w:rPr>
          <w:rFonts w:eastAsia="宋体"/>
          <w:szCs w:val="20"/>
        </w:rPr>
      </w:pPr>
      <w:r>
        <w:rPr>
          <w:rFonts w:eastAsia="宋体"/>
          <w:szCs w:val="20"/>
        </w:rPr>
        <w:t xml:space="preserve">For the case of SRS resource set is not configured with TCI state, basically, it </w:t>
      </w:r>
      <w:r>
        <w:rPr>
          <w:rFonts w:hint="eastAsia" w:eastAsia="宋体"/>
          <w:szCs w:val="20"/>
        </w:rPr>
        <w:t xml:space="preserve">may not </w:t>
      </w:r>
      <w:r>
        <w:rPr>
          <w:rFonts w:eastAsia="宋体"/>
          <w:szCs w:val="20"/>
        </w:rPr>
        <w:t xml:space="preserve">be existed due to if </w:t>
      </w:r>
      <w:r>
        <w:rPr>
          <w:rFonts w:eastAsia="宋体"/>
          <w:i/>
          <w:szCs w:val="20"/>
        </w:rPr>
        <w:t>unifiedTCI -StateType</w:t>
      </w:r>
      <w:r>
        <w:rPr>
          <w:rFonts w:eastAsia="宋体"/>
          <w:szCs w:val="20"/>
        </w:rPr>
        <w:t xml:space="preserve"> is configured, power control parameters for SRS (i.e., P0, alpha, PL-RS, closed-loop index) are solely provided by joint/UL TCI state for an SRS resource in the SRS resource set. More precisely, </w:t>
      </w:r>
    </w:p>
    <w:p>
      <w:pPr>
        <w:pStyle w:val="52"/>
        <w:numPr>
          <w:ilvl w:val="0"/>
          <w:numId w:val="11"/>
        </w:numPr>
        <w:spacing w:before="0" w:beforeLines="0" w:after="0" w:afterLines="0" w:line="240" w:lineRule="auto"/>
        <w:ind w:leftChars="0"/>
        <w:rPr>
          <w:rFonts w:eastAsia="宋体"/>
          <w:szCs w:val="20"/>
        </w:rPr>
      </w:pPr>
      <w:r>
        <w:rPr>
          <w:rFonts w:eastAsia="宋体"/>
          <w:szCs w:val="20"/>
        </w:rPr>
        <w:t xml:space="preserve">If </w:t>
      </w:r>
      <w:r>
        <w:rPr>
          <w:rFonts w:eastAsia="宋体"/>
          <w:i/>
          <w:szCs w:val="20"/>
        </w:rPr>
        <w:t>followUnifiedTCI-StateSRS</w:t>
      </w:r>
      <w:r>
        <w:rPr>
          <w:rFonts w:eastAsia="宋体"/>
          <w:szCs w:val="20"/>
        </w:rPr>
        <w:t xml:space="preserve"> is provided for the SRS resource set, power control parameters for SRS are provided by the indicated joint/UL TCI state associated to the SRS resource. </w:t>
      </w:r>
    </w:p>
    <w:p>
      <w:pPr>
        <w:pStyle w:val="52"/>
        <w:numPr>
          <w:ilvl w:val="0"/>
          <w:numId w:val="11"/>
        </w:numPr>
        <w:spacing w:before="0" w:beforeLines="0" w:after="0" w:afterLines="0" w:line="240" w:lineRule="auto"/>
        <w:ind w:leftChars="0"/>
        <w:rPr>
          <w:rFonts w:eastAsia="宋体"/>
          <w:szCs w:val="20"/>
        </w:rPr>
      </w:pPr>
      <w:r>
        <w:rPr>
          <w:rFonts w:eastAsia="宋体"/>
          <w:szCs w:val="20"/>
        </w:rPr>
        <w:t xml:space="preserve">If </w:t>
      </w:r>
      <w:r>
        <w:rPr>
          <w:rFonts w:eastAsia="宋体"/>
          <w:i/>
          <w:szCs w:val="20"/>
        </w:rPr>
        <w:t>followUnifiedTCI-StateSRS</w:t>
      </w:r>
      <w:r>
        <w:rPr>
          <w:rFonts w:eastAsia="宋体"/>
          <w:szCs w:val="20"/>
        </w:rPr>
        <w:t xml:space="preserve"> is NOT provided for an SRS resource set, power control parameters for SRS are provided by the joint/UL TCI state of an SRS resource with lowest </w:t>
      </w:r>
      <w:r>
        <w:rPr>
          <w:rFonts w:eastAsia="宋体"/>
          <w:i/>
          <w:szCs w:val="20"/>
        </w:rPr>
        <w:t>SRS-ResourceId</w:t>
      </w:r>
      <w:r>
        <w:rPr>
          <w:rFonts w:eastAsia="宋体"/>
          <w:szCs w:val="20"/>
        </w:rPr>
        <w:t xml:space="preserve"> in the SRS resource set.</w:t>
      </w:r>
    </w:p>
    <w:p>
      <w:pPr>
        <w:spacing w:before="180" w:beforeLines="50" w:after="0" w:afterLines="0"/>
        <w:rPr>
          <w:rFonts w:eastAsia="宋体"/>
          <w:i/>
          <w:iCs/>
          <w:szCs w:val="20"/>
        </w:rPr>
      </w:pPr>
      <w:r>
        <w:rPr>
          <w:rFonts w:eastAsia="宋体"/>
          <w:b/>
          <w:bCs/>
          <w:i/>
          <w:iCs/>
          <w:szCs w:val="20"/>
        </w:rPr>
        <w:t xml:space="preserve">Observation 1: </w:t>
      </w:r>
      <w:r>
        <w:rPr>
          <w:rFonts w:eastAsia="宋体"/>
          <w:i/>
          <w:szCs w:val="20"/>
        </w:rPr>
        <w:t xml:space="preserve">It </w:t>
      </w:r>
      <w:r>
        <w:rPr>
          <w:rFonts w:hint="eastAsia" w:eastAsia="宋体"/>
          <w:i/>
          <w:szCs w:val="20"/>
        </w:rPr>
        <w:t>should be considered as an</w:t>
      </w:r>
      <w:r>
        <w:rPr>
          <w:rFonts w:eastAsia="宋体"/>
          <w:i/>
          <w:szCs w:val="20"/>
        </w:rPr>
        <w:t xml:space="preserve"> error case that SRS resource set is </w:t>
      </w:r>
      <w:r>
        <w:rPr>
          <w:rFonts w:hint="eastAsia" w:eastAsia="宋体"/>
          <w:i/>
          <w:szCs w:val="20"/>
        </w:rPr>
        <w:t xml:space="preserve">NOT </w:t>
      </w:r>
      <w:r>
        <w:rPr>
          <w:rFonts w:eastAsia="宋体"/>
          <w:i/>
          <w:szCs w:val="20"/>
        </w:rPr>
        <w:t>configured with TCI state in terms of power control parameters determination for SRS.</w:t>
      </w:r>
    </w:p>
    <w:p>
      <w:pPr>
        <w:adjustRightInd w:val="0"/>
        <w:spacing w:before="180" w:beforeLines="50" w:beforeAutospacing="0" w:after="0" w:afterLines="0"/>
        <w:jc w:val="both"/>
        <w:rPr>
          <w:rFonts w:eastAsia="宋体"/>
          <w:szCs w:val="20"/>
        </w:rPr>
      </w:pPr>
      <w:r>
        <w:rPr>
          <w:rFonts w:eastAsia="宋体"/>
          <w:szCs w:val="20"/>
        </w:rPr>
        <w:t>Regarding the necessity of supporting indicate TPC command for SRS CLPC adjustment states by DCI format 1_1 and/or 0_1, the following agreement was reached in RAN1#117 meeting [4].</w:t>
      </w: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pacing w:beforeAutospacing="0" w:after="0" w:afterLines="0"/>
              <w:rPr>
                <w:rFonts w:eastAsia="Batang"/>
                <w:b/>
                <w:bCs/>
                <w:iCs/>
                <w:highlight w:val="green"/>
                <w:lang w:val="en-GB"/>
              </w:rPr>
            </w:pPr>
            <w:r>
              <w:rPr>
                <w:rFonts w:eastAsia="Batang"/>
                <w:b/>
                <w:bCs/>
                <w:iCs/>
                <w:highlight w:val="green"/>
                <w:lang w:val="en-GB"/>
              </w:rPr>
              <w:t>Agreement</w:t>
            </w:r>
          </w:p>
          <w:p>
            <w:pPr>
              <w:spacing w:beforeAutospacing="0" w:after="0" w:afterLines="0"/>
              <w:rPr>
                <w:rFonts w:ascii="Times" w:hAnsi="Times" w:eastAsia="Batang"/>
                <w:lang w:val="en-GB"/>
              </w:rPr>
            </w:pPr>
            <w:r>
              <w:rPr>
                <w:rFonts w:ascii="Times" w:hAnsi="Times" w:eastAsia="Batang"/>
                <w:lang w:val="en-GB"/>
              </w:rPr>
              <w:t>For the asymmetric DL sTRP/UL mTRP deployment scenarios, study whether and how to indicate TPC command for SRS CLPC adjustment states through DCI format 1_1 and/or 0_1 when the UE is configured two SRS CLPC adjustment states.</w:t>
            </w:r>
          </w:p>
        </w:tc>
      </w:tr>
    </w:tbl>
    <w:p>
      <w:pPr>
        <w:adjustRightInd w:val="0"/>
        <w:spacing w:before="180" w:beforeLines="50" w:beforeAutospacing="0" w:after="0" w:afterLines="0"/>
        <w:jc w:val="both"/>
        <w:rPr>
          <w:rFonts w:eastAsia="宋体"/>
          <w:szCs w:val="20"/>
        </w:rPr>
      </w:pPr>
      <w:r>
        <w:rPr>
          <w:rFonts w:eastAsia="宋体"/>
          <w:szCs w:val="20"/>
        </w:rPr>
        <w:t xml:space="preserve">Technically, it </w:t>
      </w:r>
      <w:r>
        <w:rPr>
          <w:rFonts w:hint="eastAsia" w:eastAsia="宋体"/>
          <w:szCs w:val="20"/>
        </w:rPr>
        <w:t>should be supported based on</w:t>
      </w:r>
      <w:r>
        <w:rPr>
          <w:rFonts w:eastAsia="宋体"/>
          <w:szCs w:val="20"/>
        </w:rPr>
        <w:t xml:space="preserve"> the following considerations: </w:t>
      </w:r>
    </w:p>
    <w:p>
      <w:pPr>
        <w:pStyle w:val="52"/>
        <w:numPr>
          <w:ilvl w:val="0"/>
          <w:numId w:val="11"/>
        </w:numPr>
        <w:spacing w:before="0" w:beforeLines="0" w:after="0" w:afterLines="0" w:line="240" w:lineRule="auto"/>
        <w:ind w:leftChars="0"/>
        <w:rPr>
          <w:rFonts w:ascii="Times New Roman" w:hAnsi="Times New Roman" w:eastAsia="宋体"/>
          <w:szCs w:val="20"/>
        </w:rPr>
      </w:pPr>
      <w:r>
        <w:rPr>
          <w:rFonts w:hint="eastAsia" w:ascii="Times New Roman" w:hAnsi="Times New Roman" w:eastAsia="宋体"/>
          <w:szCs w:val="20"/>
          <w:lang w:val="en-US"/>
        </w:rPr>
        <w:t xml:space="preserve">As per the following excerpt in TS 38.212, it is worth noting that the maximum number of different DCI sizes to be monitored by the UE is limited to four while up to three different DCI sizes with C-RNTI can be monitored by the UE in a cell. As a result, only one DCI format scrambled by RNTI other than C-RNTI can be monitored by the UE. Owing to a total of nine types of DCI formats 2_x have been specified for different functionalities so far, solely rely on DCI format 2_3 may tremendously limit the flexibility of NW scheduling and negatively impact the practicability of </w:t>
      </w:r>
      <w:r>
        <w:rPr>
          <w:rFonts w:ascii="Times New Roman" w:hAnsi="Times New Roman" w:eastAsia="宋体"/>
          <w:szCs w:val="20"/>
        </w:rPr>
        <w:t xml:space="preserve">TPC command </w:t>
      </w:r>
      <w:r>
        <w:rPr>
          <w:rFonts w:hint="eastAsia" w:ascii="Times New Roman" w:hAnsi="Times New Roman" w:eastAsia="宋体"/>
          <w:szCs w:val="20"/>
          <w:lang w:val="en-US"/>
        </w:rPr>
        <w:t xml:space="preserve">indication </w:t>
      </w:r>
      <w:r>
        <w:rPr>
          <w:rFonts w:ascii="Times New Roman" w:hAnsi="Times New Roman" w:eastAsia="宋体"/>
          <w:szCs w:val="20"/>
        </w:rPr>
        <w:t xml:space="preserve">for </w:t>
      </w:r>
      <w:r>
        <w:rPr>
          <w:rFonts w:hint="eastAsia" w:ascii="Times New Roman" w:hAnsi="Times New Roman" w:eastAsia="宋体"/>
          <w:szCs w:val="20"/>
          <w:lang w:val="en-US"/>
        </w:rPr>
        <w:t xml:space="preserve">the UE configured with two separated </w:t>
      </w:r>
      <w:r>
        <w:rPr>
          <w:rFonts w:ascii="Times New Roman" w:hAnsi="Times New Roman" w:eastAsia="宋体"/>
          <w:szCs w:val="20"/>
        </w:rPr>
        <w:t>SRS CLPC adjustment states</w:t>
      </w:r>
      <w:r>
        <w:rPr>
          <w:rFonts w:hint="eastAsia" w:ascii="Times New Roman" w:hAnsi="Times New Roman" w:eastAsia="宋体"/>
          <w:szCs w:val="20"/>
          <w:lang w:val="en-US"/>
        </w:rPr>
        <w:t>. In this sense, it indeed is meaningful and practical to support DCI format</w:t>
      </w:r>
      <w:r>
        <w:rPr>
          <w:rFonts w:ascii="Times New Roman" w:hAnsi="Times New Roman" w:eastAsia="宋体"/>
          <w:szCs w:val="20"/>
          <w:lang w:val="en-US"/>
        </w:rPr>
        <w:t>s</w:t>
      </w:r>
      <w:r>
        <w:rPr>
          <w:rFonts w:hint="eastAsia" w:ascii="Times New Roman" w:hAnsi="Times New Roman" w:eastAsia="宋体"/>
          <w:szCs w:val="20"/>
          <w:lang w:val="en-US"/>
        </w:rPr>
        <w:t xml:space="preserve"> 1_1 and DCI format 0_1 additionally.</w:t>
      </w:r>
    </w:p>
    <w:p>
      <w:pPr>
        <w:pStyle w:val="52"/>
        <w:numPr>
          <w:ilvl w:val="0"/>
          <w:numId w:val="14"/>
        </w:numPr>
        <w:spacing w:before="108" w:after="0" w:afterLines="0" w:line="240" w:lineRule="auto"/>
        <w:ind w:left="839" w:leftChars="0"/>
        <w:rPr>
          <w:rFonts w:ascii="Times New Roman" w:hAnsi="Times New Roman" w:eastAsia="宋体"/>
          <w:b/>
          <w:bCs/>
          <w:szCs w:val="20"/>
          <w:lang w:val="en-US"/>
        </w:rPr>
      </w:pPr>
      <w:r>
        <w:rPr>
          <w:rFonts w:hint="eastAsia" w:ascii="Times New Roman" w:hAnsi="Times New Roman" w:eastAsia="宋体"/>
          <w:b/>
          <w:bCs/>
          <w:szCs w:val="20"/>
          <w:lang w:val="en-US"/>
        </w:rPr>
        <w:t>TS 38.212</w:t>
      </w:r>
    </w:p>
    <w:tbl>
      <w:tblPr>
        <w:tblStyle w:val="29"/>
        <w:tblW w:w="0" w:type="auto"/>
        <w:tblInd w:w="5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4" w:type="dxa"/>
          </w:tcPr>
          <w:p>
            <w:pPr>
              <w:pStyle w:val="5"/>
              <w:numPr>
                <w:ilvl w:val="2"/>
                <w:numId w:val="0"/>
              </w:numPr>
              <w:tabs>
                <w:tab w:val="left" w:pos="851"/>
              </w:tabs>
              <w:spacing w:before="180" w:after="180"/>
            </w:pPr>
            <w:r>
              <w:rPr>
                <w:rFonts w:hint="eastAsia"/>
              </w:rPr>
              <w:t>7.3.1.0</w:t>
            </w:r>
            <w:r>
              <w:rPr>
                <w:rFonts w:hint="eastAsia"/>
              </w:rPr>
              <w:tab/>
            </w:r>
            <w:r>
              <w:rPr>
                <w:rFonts w:hint="eastAsia"/>
              </w:rPr>
              <w:t xml:space="preserve">DCI </w:t>
            </w:r>
            <w:r>
              <w:t>size alignment</w:t>
            </w:r>
          </w:p>
          <w:p>
            <w:pPr>
              <w:pStyle w:val="52"/>
              <w:spacing w:before="0" w:beforeLines="0" w:after="0" w:afterLines="0" w:line="240" w:lineRule="auto"/>
              <w:ind w:left="0" w:leftChars="0"/>
              <w:jc w:val="center"/>
              <w:rPr>
                <w:rFonts w:ascii="Times New Roman" w:hAnsi="Times New Roman" w:eastAsia="宋体"/>
                <w:color w:val="FF0000"/>
                <w:szCs w:val="20"/>
                <w:lang w:val="en-US"/>
              </w:rPr>
            </w:pPr>
            <w:r>
              <w:rPr>
                <w:rFonts w:hint="eastAsia" w:ascii="Times New Roman" w:hAnsi="Times New Roman" w:eastAsia="宋体"/>
                <w:color w:val="FF0000"/>
                <w:szCs w:val="20"/>
                <w:lang w:val="en-US"/>
              </w:rPr>
              <w:t>&lt;Unrelated parts are omitted&gt;</w:t>
            </w:r>
          </w:p>
          <w:p>
            <w:pPr>
              <w:overflowPunct w:val="0"/>
              <w:autoSpaceDE w:val="0"/>
              <w:autoSpaceDN w:val="0"/>
              <w:adjustRightInd w:val="0"/>
              <w:spacing w:beforeAutospacing="0" w:after="180" w:afterLines="0"/>
              <w:textAlignment w:val="baseline"/>
              <w:rPr>
                <w:rFonts w:eastAsia="等线"/>
                <w:szCs w:val="20"/>
                <w:lang w:val="en-GB"/>
              </w:rPr>
            </w:pPr>
            <w:r>
              <w:rPr>
                <w:rFonts w:eastAsia="等线"/>
                <w:szCs w:val="20"/>
                <w:lang w:val="en-GB"/>
              </w:rPr>
              <w:t>Step 3:</w:t>
            </w:r>
          </w:p>
          <w:p>
            <w:pPr>
              <w:overflowPunct w:val="0"/>
              <w:autoSpaceDE w:val="0"/>
              <w:autoSpaceDN w:val="0"/>
              <w:adjustRightInd w:val="0"/>
              <w:spacing w:after="180"/>
              <w:ind w:left="568" w:hanging="284"/>
              <w:textAlignment w:val="baseline"/>
              <w:rPr>
                <w:rFonts w:eastAsia="等线"/>
                <w:lang w:val="en-GB"/>
              </w:rPr>
            </w:pPr>
            <w:r>
              <w:rPr>
                <w:rFonts w:eastAsia="等线"/>
                <w:lang w:val="en-GB"/>
              </w:rPr>
              <w:t>-</w:t>
            </w:r>
            <w:r>
              <w:rPr>
                <w:rFonts w:eastAsia="等线"/>
                <w:lang w:val="en-GB"/>
              </w:rPr>
              <w:tab/>
            </w:r>
            <w:r>
              <w:rPr>
                <w:rFonts w:eastAsia="等线"/>
                <w:lang w:val="en-GB"/>
              </w:rPr>
              <w:t>If both of the following conditions are fulfilled the size alignment procedure is complete</w:t>
            </w:r>
          </w:p>
          <w:p>
            <w:pPr>
              <w:overflowPunct w:val="0"/>
              <w:autoSpaceDE w:val="0"/>
              <w:autoSpaceDN w:val="0"/>
              <w:adjustRightInd w:val="0"/>
              <w:spacing w:after="180"/>
              <w:ind w:left="851" w:hanging="284"/>
              <w:textAlignment w:val="baseline"/>
              <w:rPr>
                <w:rFonts w:eastAsia="等线"/>
                <w:lang w:val="en-GB"/>
              </w:rPr>
            </w:pPr>
            <w:r>
              <w:rPr>
                <w:rFonts w:eastAsia="等线"/>
                <w:lang w:val="en-GB"/>
              </w:rPr>
              <w:t>-</w:t>
            </w:r>
            <w:r>
              <w:rPr>
                <w:rFonts w:eastAsia="等线"/>
                <w:lang w:val="en-GB"/>
              </w:rPr>
              <w:tab/>
            </w:r>
            <w:r>
              <w:rPr>
                <w:rFonts w:eastAsia="等线"/>
                <w:lang w:val="en-GB"/>
              </w:rPr>
              <w:t xml:space="preserve">the total number of different DCI sizes configured to monitor is no more than 4 for the cell </w:t>
            </w:r>
          </w:p>
          <w:p>
            <w:pPr>
              <w:overflowPunct w:val="0"/>
              <w:autoSpaceDE w:val="0"/>
              <w:autoSpaceDN w:val="0"/>
              <w:adjustRightInd w:val="0"/>
              <w:spacing w:after="180"/>
              <w:ind w:left="851" w:hanging="284"/>
              <w:textAlignment w:val="baseline"/>
              <w:rPr>
                <w:rFonts w:eastAsia="等线"/>
                <w:lang w:val="en-GB"/>
              </w:rPr>
            </w:pPr>
            <w:r>
              <w:rPr>
                <w:rFonts w:eastAsia="等线"/>
                <w:lang w:val="en-GB"/>
              </w:rPr>
              <w:t>-</w:t>
            </w:r>
            <w:r>
              <w:rPr>
                <w:rFonts w:eastAsia="等线"/>
                <w:lang w:val="en-GB"/>
              </w:rPr>
              <w:tab/>
            </w:r>
            <w:r>
              <w:rPr>
                <w:rFonts w:eastAsia="等线"/>
                <w:lang w:val="en-GB"/>
              </w:rPr>
              <w:t>the total number of different DCI sizes with C-RNTI configured to monitor is no more than 3 for the cell</w:t>
            </w:r>
          </w:p>
          <w:p>
            <w:pPr>
              <w:pStyle w:val="52"/>
              <w:spacing w:before="108" w:after="108" w:line="240" w:lineRule="auto"/>
              <w:ind w:left="0" w:leftChars="0"/>
              <w:jc w:val="center"/>
              <w:rPr>
                <w:rFonts w:ascii="Times New Roman" w:hAnsi="Times New Roman" w:eastAsia="宋体"/>
                <w:color w:val="FF0000"/>
                <w:szCs w:val="20"/>
                <w:lang w:val="en-US"/>
              </w:rPr>
            </w:pPr>
            <w:r>
              <w:rPr>
                <w:rFonts w:hint="eastAsia" w:ascii="Times New Roman" w:hAnsi="Times New Roman" w:eastAsia="宋体"/>
                <w:color w:val="FF0000"/>
                <w:szCs w:val="20"/>
                <w:lang w:val="en-US"/>
              </w:rPr>
              <w:t>&lt;Unrelated parts are omitted&gt;</w:t>
            </w:r>
          </w:p>
          <w:p>
            <w:pPr>
              <w:keepNext/>
              <w:keepLines/>
              <w:overflowPunct w:val="0"/>
              <w:autoSpaceDE w:val="0"/>
              <w:autoSpaceDN w:val="0"/>
              <w:adjustRightInd w:val="0"/>
              <w:spacing w:beforeAutospacing="0" w:after="180" w:afterLines="0"/>
              <w:textAlignment w:val="baseline"/>
              <w:rPr>
                <w:rFonts w:eastAsia="等线"/>
                <w:szCs w:val="20"/>
                <w:lang w:val="en-GB" w:eastAsia="en-US"/>
              </w:rPr>
            </w:pPr>
            <w:r>
              <w:rPr>
                <w:rFonts w:eastAsia="等线"/>
                <w:szCs w:val="20"/>
                <w:lang w:val="en-GB" w:eastAsia="en-US"/>
              </w:rPr>
              <w:t>The UE is not expected to handle a configuration that, after applying the above steps, results in</w:t>
            </w:r>
          </w:p>
          <w:p>
            <w:pPr>
              <w:overflowPunct w:val="0"/>
              <w:autoSpaceDE w:val="0"/>
              <w:autoSpaceDN w:val="0"/>
              <w:adjustRightInd w:val="0"/>
              <w:spacing w:after="180"/>
              <w:ind w:left="568" w:hanging="284"/>
              <w:textAlignment w:val="baseline"/>
              <w:rPr>
                <w:rFonts w:eastAsia="等线"/>
                <w:lang w:val="en-GB"/>
              </w:rPr>
            </w:pPr>
            <w:r>
              <w:rPr>
                <w:rFonts w:eastAsia="等线"/>
                <w:lang w:val="en-GB" w:eastAsia="en-US"/>
              </w:rPr>
              <w:t>-</w:t>
            </w:r>
            <w:r>
              <w:rPr>
                <w:rFonts w:eastAsia="等线"/>
                <w:lang w:val="en-GB" w:eastAsia="en-US"/>
              </w:rPr>
              <w:tab/>
            </w:r>
            <w:r>
              <w:rPr>
                <w:rFonts w:eastAsia="等线"/>
                <w:lang w:val="en-GB"/>
              </w:rPr>
              <w:t>the total number of different DCI sizes configured to monitor is more than 4 for the cell; or</w:t>
            </w:r>
          </w:p>
          <w:p>
            <w:pPr>
              <w:overflowPunct w:val="0"/>
              <w:autoSpaceDE w:val="0"/>
              <w:autoSpaceDN w:val="0"/>
              <w:adjustRightInd w:val="0"/>
              <w:spacing w:after="180"/>
              <w:ind w:left="568" w:hanging="284"/>
              <w:textAlignment w:val="baseline"/>
              <w:rPr>
                <w:rFonts w:eastAsia="等线"/>
                <w:lang w:val="en-GB"/>
              </w:rPr>
            </w:pPr>
            <w:r>
              <w:rPr>
                <w:rFonts w:eastAsia="等线"/>
                <w:lang w:val="en-GB"/>
              </w:rPr>
              <w:t>-</w:t>
            </w:r>
            <w:r>
              <w:rPr>
                <w:rFonts w:eastAsia="等线"/>
                <w:lang w:val="en-GB"/>
              </w:rPr>
              <w:tab/>
            </w:r>
            <w:r>
              <w:rPr>
                <w:rFonts w:eastAsia="等线"/>
                <w:lang w:val="en-GB"/>
              </w:rPr>
              <w:t>the total number of different DCI sizes with C-RNTI configured to monitor is more than 3 for the cell; or</w:t>
            </w:r>
          </w:p>
          <w:p>
            <w:pPr>
              <w:pStyle w:val="52"/>
              <w:spacing w:before="108" w:after="108" w:line="240" w:lineRule="auto"/>
              <w:ind w:left="0" w:leftChars="0"/>
              <w:jc w:val="center"/>
              <w:rPr>
                <w:rFonts w:ascii="Times New Roman" w:hAnsi="Times New Roman" w:eastAsia="宋体"/>
                <w:szCs w:val="20"/>
              </w:rPr>
            </w:pPr>
            <w:r>
              <w:rPr>
                <w:rFonts w:hint="eastAsia" w:ascii="Times New Roman" w:hAnsi="Times New Roman" w:eastAsia="宋体"/>
                <w:color w:val="FF0000"/>
                <w:szCs w:val="20"/>
                <w:lang w:val="en-US"/>
              </w:rPr>
              <w:t>&lt;Unrelated parts are omitted&gt;</w:t>
            </w:r>
          </w:p>
        </w:tc>
      </w:tr>
    </w:tbl>
    <w:p>
      <w:pPr>
        <w:pStyle w:val="52"/>
        <w:numPr>
          <w:ilvl w:val="0"/>
          <w:numId w:val="11"/>
        </w:numPr>
        <w:spacing w:before="108" w:after="0" w:afterLines="0" w:line="240" w:lineRule="auto"/>
        <w:ind w:leftChars="0"/>
        <w:rPr>
          <w:rFonts w:ascii="Times New Roman" w:hAnsi="Times New Roman" w:eastAsia="宋体"/>
          <w:szCs w:val="20"/>
        </w:rPr>
      </w:pPr>
      <w:r>
        <w:rPr>
          <w:rFonts w:ascii="Times New Roman" w:hAnsi="Times New Roman" w:eastAsia="宋体"/>
          <w:szCs w:val="20"/>
        </w:rPr>
        <w:t xml:space="preserve">Given that DCI format 2_3 is mainly used for group-based indication of multiple UEs and </w:t>
      </w:r>
      <w:r>
        <w:rPr>
          <w:rFonts w:hint="eastAsia" w:ascii="Times New Roman" w:hAnsi="Times New Roman" w:eastAsia="宋体"/>
          <w:szCs w:val="20"/>
          <w:lang w:val="en-US"/>
        </w:rPr>
        <w:t>which</w:t>
      </w:r>
      <w:r>
        <w:rPr>
          <w:rFonts w:ascii="Times New Roman" w:hAnsi="Times New Roman" w:eastAsia="宋体"/>
          <w:szCs w:val="20"/>
        </w:rPr>
        <w:t xml:space="preserve"> is optional UE feature (i.e., FG 8-6), DCI format 1_1 and/or 0_1 is more flexible and feasible to be used over DCI format 2_3 when considering TPC command for SRS CLPC adjustment states is mainly indicated per UE.</w:t>
      </w:r>
    </w:p>
    <w:tbl>
      <w:tblPr>
        <w:tblStyle w:val="29"/>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0"/>
        <w:gridCol w:w="723"/>
        <w:gridCol w:w="1503"/>
        <w:gridCol w:w="2751"/>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tcPr>
          <w:p>
            <w:pPr>
              <w:pStyle w:val="52"/>
              <w:spacing w:before="108" w:after="108" w:line="240" w:lineRule="auto"/>
              <w:ind w:left="0" w:leftChars="0"/>
              <w:jc w:val="left"/>
              <w:rPr>
                <w:rFonts w:ascii="Arial" w:hAnsi="Arial" w:eastAsia="宋体" w:cs="Arial"/>
                <w:sz w:val="18"/>
                <w:szCs w:val="18"/>
              </w:rPr>
            </w:pPr>
            <w:r>
              <w:rPr>
                <w:rFonts w:ascii="Arial" w:hAnsi="Arial" w:cs="Arial"/>
                <w:sz w:val="18"/>
                <w:szCs w:val="18"/>
              </w:rPr>
              <w:t>8. UL TPC</w:t>
            </w:r>
          </w:p>
        </w:tc>
        <w:tc>
          <w:tcPr>
            <w:tcW w:w="723" w:type="dxa"/>
          </w:tcPr>
          <w:p>
            <w:pPr>
              <w:pStyle w:val="47"/>
              <w:spacing w:before="108" w:after="108"/>
              <w:rPr>
                <w:rFonts w:cs="Arial"/>
                <w:szCs w:val="18"/>
              </w:rPr>
            </w:pPr>
            <w:r>
              <w:rPr>
                <w:rFonts w:cs="Arial"/>
                <w:szCs w:val="18"/>
              </w:rPr>
              <w:t>8-6</w:t>
            </w:r>
          </w:p>
        </w:tc>
        <w:tc>
          <w:tcPr>
            <w:tcW w:w="1503" w:type="dxa"/>
          </w:tcPr>
          <w:p>
            <w:pPr>
              <w:pStyle w:val="47"/>
              <w:spacing w:before="108" w:after="108"/>
              <w:jc w:val="left"/>
              <w:rPr>
                <w:rFonts w:cs="Arial"/>
                <w:szCs w:val="18"/>
              </w:rPr>
            </w:pPr>
            <w:r>
              <w:rPr>
                <w:rFonts w:cs="Arial"/>
                <w:szCs w:val="18"/>
              </w:rPr>
              <w:t>TPC-SRS-RNTI</w:t>
            </w:r>
          </w:p>
        </w:tc>
        <w:tc>
          <w:tcPr>
            <w:tcW w:w="2751" w:type="dxa"/>
          </w:tcPr>
          <w:p>
            <w:pPr>
              <w:pStyle w:val="47"/>
              <w:spacing w:before="108" w:after="108"/>
              <w:jc w:val="left"/>
              <w:rPr>
                <w:rFonts w:cs="Arial"/>
                <w:szCs w:val="18"/>
              </w:rPr>
            </w:pPr>
            <w:r>
              <w:rPr>
                <w:rFonts w:cs="Arial"/>
                <w:szCs w:val="18"/>
              </w:rPr>
              <w:t>Specific group DCI message for TPC commands for SRS</w:t>
            </w:r>
          </w:p>
        </w:tc>
        <w:tc>
          <w:tcPr>
            <w:tcW w:w="2492" w:type="dxa"/>
          </w:tcPr>
          <w:p>
            <w:pPr>
              <w:pStyle w:val="52"/>
              <w:spacing w:before="108" w:after="108" w:line="240" w:lineRule="auto"/>
              <w:ind w:left="0" w:leftChars="0"/>
              <w:jc w:val="left"/>
              <w:rPr>
                <w:rFonts w:ascii="Arial" w:hAnsi="Arial" w:eastAsia="宋体" w:cs="Arial"/>
                <w:sz w:val="18"/>
                <w:szCs w:val="18"/>
              </w:rPr>
            </w:pPr>
            <w:r>
              <w:rPr>
                <w:rFonts w:ascii="Arial" w:hAnsi="Arial" w:cs="Arial"/>
                <w:sz w:val="18"/>
                <w:szCs w:val="18"/>
              </w:rPr>
              <w:t>Optional with capability signalling</w:t>
            </w:r>
          </w:p>
        </w:tc>
      </w:tr>
    </w:tbl>
    <w:p>
      <w:pPr>
        <w:pStyle w:val="52"/>
        <w:numPr>
          <w:ilvl w:val="0"/>
          <w:numId w:val="11"/>
        </w:numPr>
        <w:spacing w:before="108" w:after="0" w:afterLines="0" w:line="240" w:lineRule="auto"/>
        <w:ind w:leftChars="0"/>
        <w:rPr>
          <w:rFonts w:ascii="Times New Roman" w:hAnsi="Times New Roman" w:eastAsia="宋体"/>
          <w:szCs w:val="20"/>
        </w:rPr>
      </w:pPr>
      <w:r>
        <w:rPr>
          <w:rFonts w:ascii="Times New Roman" w:hAnsi="Times New Roman" w:eastAsia="宋体"/>
          <w:szCs w:val="20"/>
        </w:rPr>
        <w:t>Note that the payload size of DCI 2_3 cannot be larger than that of DCI 1_0, the scheduling flexibility in terms of the maximum number of CCs per UE and the maximum number of blocks among multiple UEs may be negatively impacted. Consequently, DCI formats 1_1 and 0_1 can be used as the backup for accommodation.</w:t>
      </w:r>
    </w:p>
    <w:p>
      <w:pPr>
        <w:pStyle w:val="52"/>
        <w:numPr>
          <w:ilvl w:val="0"/>
          <w:numId w:val="11"/>
        </w:numPr>
        <w:spacing w:before="108" w:after="0" w:afterLines="0" w:line="240" w:lineRule="auto"/>
        <w:ind w:leftChars="0"/>
        <w:rPr>
          <w:rFonts w:ascii="Times New Roman" w:hAnsi="Times New Roman" w:eastAsia="宋体"/>
          <w:szCs w:val="20"/>
        </w:rPr>
      </w:pPr>
      <w:r>
        <w:rPr>
          <w:rFonts w:ascii="Times New Roman" w:hAnsi="Times New Roman" w:eastAsia="宋体"/>
          <w:szCs w:val="20"/>
        </w:rPr>
        <w:t>Compared to the legacy that DCI format 1_1 is to indicate TPC command for PUCCH transmission and DCI format 0_1 is to indicate TPC command for PUSCH transmission, no extra UE complexity is needed to support DCI formats 0_1 and 1_1 for indicating TPC command for SRS CLPC adjustment states.</w:t>
      </w:r>
    </w:p>
    <w:p>
      <w:pPr>
        <w:adjustRightInd w:val="0"/>
        <w:spacing w:before="180" w:beforeLines="50" w:beforeAutospacing="0" w:after="180"/>
        <w:jc w:val="both"/>
        <w:rPr>
          <w:rFonts w:eastAsia="宋体"/>
          <w:szCs w:val="20"/>
        </w:rPr>
      </w:pPr>
      <w:r>
        <w:rPr>
          <w:rFonts w:hint="eastAsia" w:eastAsia="宋体"/>
          <w:szCs w:val="20"/>
        </w:rPr>
        <w:t>Subsequently, s</w:t>
      </w:r>
      <w:r>
        <w:rPr>
          <w:rFonts w:eastAsia="宋体"/>
          <w:szCs w:val="20"/>
        </w:rPr>
        <w:t xml:space="preserve">imilar to the </w:t>
      </w:r>
      <w:r>
        <w:rPr>
          <w:rFonts w:hint="eastAsia" w:eastAsia="宋体"/>
          <w:szCs w:val="20"/>
        </w:rPr>
        <w:t xml:space="preserve">reached </w:t>
      </w:r>
      <w:r>
        <w:rPr>
          <w:rFonts w:eastAsia="宋体"/>
          <w:szCs w:val="20"/>
        </w:rPr>
        <w:t xml:space="preserve">enhancement of DCI format 2_3, it </w:t>
      </w:r>
      <w:r>
        <w:rPr>
          <w:rFonts w:hint="eastAsia" w:eastAsia="宋体"/>
          <w:szCs w:val="20"/>
        </w:rPr>
        <w:t xml:space="preserve">can be simple and also </w:t>
      </w:r>
      <w:r>
        <w:rPr>
          <w:rFonts w:eastAsia="宋体"/>
          <w:szCs w:val="20"/>
        </w:rPr>
        <w:t xml:space="preserve">sufficient to directly introduce </w:t>
      </w:r>
      <w:r>
        <w:rPr>
          <w:rFonts w:hint="eastAsia" w:eastAsia="宋体"/>
          <w:szCs w:val="20"/>
        </w:rPr>
        <w:t xml:space="preserve">a second </w:t>
      </w:r>
      <w:r>
        <w:rPr>
          <w:rFonts w:eastAsia="宋体"/>
          <w:szCs w:val="20"/>
        </w:rPr>
        <w:t xml:space="preserve">2-bit TPC command field and </w:t>
      </w:r>
      <w:r>
        <w:rPr>
          <w:rFonts w:hint="eastAsia" w:eastAsia="宋体"/>
          <w:szCs w:val="20"/>
        </w:rPr>
        <w:t xml:space="preserve">a </w:t>
      </w:r>
      <w:r>
        <w:rPr>
          <w:rFonts w:eastAsia="宋体"/>
          <w:szCs w:val="20"/>
        </w:rPr>
        <w:t xml:space="preserve">1-bit closed-loop indicator field that is dedicated to indicating TPC command for SRS when the UE is configured with </w:t>
      </w:r>
      <w:r>
        <w:rPr>
          <w:rFonts w:hint="eastAsia" w:eastAsia="宋体"/>
          <w:szCs w:val="20"/>
        </w:rPr>
        <w:t xml:space="preserve">two </w:t>
      </w:r>
      <w:r>
        <w:rPr>
          <w:rFonts w:eastAsia="宋体"/>
          <w:szCs w:val="20"/>
        </w:rPr>
        <w:t>separate SRS CLPC adjustment states.</w:t>
      </w:r>
      <w:bookmarkStart w:id="6" w:name="_GoBack"/>
      <w:bookmarkEnd w:id="6"/>
    </w:p>
    <w:p>
      <w:pPr>
        <w:adjustRightInd w:val="0"/>
        <w:spacing w:before="180" w:beforeLines="50" w:beforeAutospacing="0" w:after="0" w:afterLines="0"/>
        <w:jc w:val="both"/>
        <w:rPr>
          <w:rFonts w:eastAsia="宋体"/>
          <w:i/>
          <w:szCs w:val="20"/>
        </w:rPr>
      </w:pPr>
      <w:r>
        <w:rPr>
          <w:rFonts w:eastAsia="宋体"/>
          <w:b/>
          <w:bCs/>
          <w:i/>
          <w:iCs/>
          <w:szCs w:val="20"/>
        </w:rPr>
        <w:t>Proposal 6:</w:t>
      </w:r>
      <w:r>
        <w:rPr>
          <w:rFonts w:eastAsia="宋体"/>
          <w:i/>
          <w:iCs/>
          <w:szCs w:val="20"/>
        </w:rPr>
        <w:t xml:space="preserve"> </w:t>
      </w:r>
      <w:r>
        <w:rPr>
          <w:rFonts w:eastAsia="宋体"/>
          <w:i/>
          <w:szCs w:val="20"/>
        </w:rPr>
        <w:t>Support to enhance DCI formats 1_1 and 0_1 to indicate TPC command for SRS when the UE is configured with two separate SRS CLPC adjustment states.</w:t>
      </w:r>
    </w:p>
    <w:p>
      <w:pPr>
        <w:pStyle w:val="52"/>
        <w:numPr>
          <w:ilvl w:val="0"/>
          <w:numId w:val="11"/>
        </w:numPr>
        <w:spacing w:before="0" w:beforeLines="0" w:after="0" w:afterLines="0" w:line="240" w:lineRule="auto"/>
        <w:ind w:leftChars="0"/>
        <w:rPr>
          <w:rFonts w:ascii="Times New Roman" w:hAnsi="Times New Roman" w:eastAsia="宋体"/>
          <w:i/>
          <w:szCs w:val="20"/>
        </w:rPr>
      </w:pPr>
      <w:r>
        <w:rPr>
          <w:rFonts w:ascii="Times New Roman" w:hAnsi="Times New Roman" w:eastAsia="宋体"/>
          <w:i/>
          <w:iCs/>
          <w:szCs w:val="20"/>
        </w:rPr>
        <w:t xml:space="preserve">Introduce </w:t>
      </w:r>
      <w:r>
        <w:rPr>
          <w:rFonts w:hint="eastAsia" w:ascii="Times New Roman" w:hAnsi="Times New Roman" w:eastAsia="宋体"/>
          <w:i/>
          <w:iCs/>
          <w:szCs w:val="20"/>
          <w:lang w:val="en-US"/>
        </w:rPr>
        <w:t xml:space="preserve">a second </w:t>
      </w:r>
      <w:r>
        <w:rPr>
          <w:rFonts w:ascii="Times New Roman" w:hAnsi="Times New Roman" w:eastAsia="宋体"/>
          <w:i/>
          <w:szCs w:val="20"/>
        </w:rPr>
        <w:t xml:space="preserve">2-bit TPC command field and </w:t>
      </w:r>
      <w:r>
        <w:rPr>
          <w:rFonts w:hint="eastAsia" w:ascii="Times New Roman" w:hAnsi="Times New Roman" w:eastAsia="宋体"/>
          <w:i/>
          <w:szCs w:val="20"/>
          <w:lang w:val="en-US"/>
        </w:rPr>
        <w:t xml:space="preserve">a </w:t>
      </w:r>
      <w:r>
        <w:rPr>
          <w:rFonts w:ascii="Times New Roman" w:hAnsi="Times New Roman" w:eastAsia="宋体"/>
          <w:i/>
          <w:szCs w:val="20"/>
        </w:rPr>
        <w:t>1-bit closed-loop indicator field in DCI formats 1_1 and 0_1.</w:t>
      </w:r>
    </w:p>
    <w:p>
      <w:pPr>
        <w:spacing w:after="180"/>
        <w:jc w:val="both"/>
        <w:rPr>
          <w:rFonts w:eastAsia="Batang"/>
          <w:szCs w:val="20"/>
          <w:lang w:val="en-GB" w:eastAsia="en-US"/>
        </w:rPr>
      </w:pPr>
      <w:r>
        <w:rPr>
          <w:rFonts w:eastAsia="宋体"/>
          <w:szCs w:val="20"/>
        </w:rPr>
        <w:t xml:space="preserve">Regarding the concern on </w:t>
      </w:r>
      <w:r>
        <w:rPr>
          <w:rFonts w:eastAsia="Batang"/>
          <w:szCs w:val="20"/>
          <w:lang w:val="en-GB" w:eastAsia="en-US"/>
        </w:rPr>
        <w:t xml:space="preserve">Alt2 of the following agreement reached in RAN1#116bis meeting, we think the potential issues with beam management as pointed out by companies is valid, due to Alt2 deviates from the legacy rule of SRS power control determination under unified TCI framework [5]. </w:t>
      </w:r>
    </w:p>
    <w:tbl>
      <w:tblPr>
        <w:tblStyle w:val="29"/>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5" w:type="dxa"/>
          </w:tcPr>
          <w:p>
            <w:pPr>
              <w:adjustRightInd w:val="0"/>
              <w:spacing w:beforeAutospacing="0" w:after="0" w:afterLines="0"/>
              <w:rPr>
                <w:rFonts w:eastAsia="等线"/>
                <w:b/>
                <w:bCs/>
                <w:szCs w:val="20"/>
                <w:highlight w:val="green"/>
              </w:rPr>
            </w:pPr>
            <w:r>
              <w:rPr>
                <w:rFonts w:eastAsia="等线"/>
                <w:b/>
                <w:bCs/>
                <w:szCs w:val="20"/>
                <w:highlight w:val="green"/>
              </w:rPr>
              <w:t>Agreement</w:t>
            </w:r>
          </w:p>
          <w:p>
            <w:pPr>
              <w:adjustRightInd w:val="0"/>
              <w:spacing w:beforeAutospacing="0" w:after="0" w:afterLines="0"/>
              <w:rPr>
                <w:rFonts w:eastAsia="等线"/>
                <w:szCs w:val="20"/>
              </w:rPr>
            </w:pPr>
            <w:r>
              <w:rPr>
                <w:rFonts w:eastAsia="等线"/>
                <w:szCs w:val="20"/>
              </w:rPr>
              <w:t xml:space="preserve">For a UE configured with two SRS CLPC adjustment states, support </w:t>
            </w:r>
            <w:r>
              <w:rPr>
                <w:rFonts w:eastAsia="等线"/>
                <w:b/>
                <w:bCs/>
                <w:szCs w:val="20"/>
              </w:rPr>
              <w:t>Alt2</w:t>
            </w:r>
            <w:r>
              <w:rPr>
                <w:rFonts w:eastAsia="等线"/>
                <w:szCs w:val="20"/>
              </w:rPr>
              <w:t xml:space="preserve"> for indicating one of the SRS CLPC adjustment states to SRS:</w:t>
            </w:r>
          </w:p>
          <w:p>
            <w:pPr>
              <w:numPr>
                <w:ilvl w:val="0"/>
                <w:numId w:val="15"/>
              </w:numPr>
              <w:adjustRightInd w:val="0"/>
              <w:spacing w:beforeAutospacing="0" w:after="0" w:afterLines="0"/>
              <w:jc w:val="both"/>
              <w:rPr>
                <w:rFonts w:eastAsia="等线"/>
                <w:szCs w:val="20"/>
              </w:rPr>
            </w:pPr>
            <w:r>
              <w:rPr>
                <w:rFonts w:eastAsia="等线"/>
                <w:szCs w:val="20"/>
              </w:rPr>
              <w:t>Alt2: When the parameter srs-PowerControlAdjustmentStates is set to 'separateClosedLoop', closedLoopIndex-r17 for SRS in the TCI state indicates one of the SRS CLPC adjustment states</w:t>
            </w:r>
          </w:p>
          <w:p>
            <w:pPr>
              <w:numPr>
                <w:ilvl w:val="1"/>
                <w:numId w:val="15"/>
              </w:numPr>
              <w:adjustRightInd w:val="0"/>
              <w:spacing w:beforeAutospacing="0" w:after="0" w:afterLines="0"/>
              <w:jc w:val="both"/>
              <w:rPr>
                <w:rFonts w:eastAsia="等线"/>
                <w:szCs w:val="20"/>
              </w:rPr>
            </w:pPr>
            <w:r>
              <w:rPr>
                <w:bCs/>
                <w:iCs/>
                <w:szCs w:val="20"/>
              </w:rPr>
              <w:t xml:space="preserve">The candidate value of i0 and i1 in </w:t>
            </w:r>
            <w:r>
              <w:rPr>
                <w:bCs/>
                <w:i/>
                <w:szCs w:val="20"/>
              </w:rPr>
              <w:t>closedLoopIndex-r17</w:t>
            </w:r>
            <w:r>
              <w:rPr>
                <w:bCs/>
                <w:iCs/>
                <w:szCs w:val="20"/>
              </w:rPr>
              <w:t xml:space="preserve"> for SRS refers to the first and the second CLPC adjustment state separate from PUSCH, respectively</w:t>
            </w:r>
          </w:p>
          <w:p>
            <w:pPr>
              <w:adjustRightInd w:val="0"/>
              <w:spacing w:beforeAutospacing="0" w:after="0" w:afterLines="0"/>
              <w:rPr>
                <w:rFonts w:eastAsia="Batang"/>
                <w:szCs w:val="20"/>
              </w:rPr>
            </w:pPr>
            <w:r>
              <w:rPr>
                <w:rFonts w:eastAsia="Batang"/>
                <w:szCs w:val="20"/>
              </w:rPr>
              <w:t>Ericsson raised concerns on Alt2 due to potential issues with beam management.</w:t>
            </w:r>
          </w:p>
        </w:tc>
      </w:tr>
    </w:tbl>
    <w:p>
      <w:pPr>
        <w:spacing w:after="180"/>
        <w:jc w:val="both"/>
        <w:rPr>
          <w:szCs w:val="20"/>
        </w:rPr>
      </w:pPr>
      <w:r>
        <w:rPr>
          <w:rFonts w:eastAsia="Batang"/>
          <w:szCs w:val="20"/>
          <w:lang w:val="en-GB" w:eastAsia="en-US"/>
        </w:rPr>
        <w:t xml:space="preserve">As shown in the following excerpts in TS 38.213, if </w:t>
      </w:r>
      <w:r>
        <w:rPr>
          <w:i/>
          <w:iCs/>
          <w:szCs w:val="20"/>
        </w:rPr>
        <w:t>followUnifiedTCI-StateSRS</w:t>
      </w:r>
      <w:r>
        <w:rPr>
          <w:szCs w:val="20"/>
        </w:rPr>
        <w:t xml:space="preserve"> is not provided for an SRS resource set (e.g., that is used for beam management), SRS CLPC adjustment state is provided by </w:t>
      </w:r>
      <w:r>
        <w:rPr>
          <w:i/>
          <w:szCs w:val="20"/>
        </w:rPr>
        <w:t>p0AlphaSetforSRS</w:t>
      </w:r>
      <w:r>
        <w:rPr>
          <w:szCs w:val="20"/>
        </w:rPr>
        <w:t xml:space="preserve"> associated with joint/UL TCI state of an SRS resource with lowest </w:t>
      </w:r>
      <w:r>
        <w:rPr>
          <w:i/>
          <w:iCs/>
          <w:szCs w:val="20"/>
        </w:rPr>
        <w:t>SRS-ResourceId</w:t>
      </w:r>
      <w:r>
        <w:rPr>
          <w:szCs w:val="20"/>
        </w:rPr>
        <w:t xml:space="preserve"> in the SRS resource set. Apparently, it is different from the mechanism of Alt2 that SRS CLPC adjustment state is provided by </w:t>
      </w:r>
      <w:r>
        <w:rPr>
          <w:i/>
          <w:szCs w:val="20"/>
        </w:rPr>
        <w:t>p0AlphaSetforSRS</w:t>
      </w:r>
      <w:r>
        <w:rPr>
          <w:szCs w:val="20"/>
        </w:rPr>
        <w:t xml:space="preserve"> associated with the indicated joint/UL TCI state for SRS.</w:t>
      </w:r>
    </w:p>
    <w:tbl>
      <w:tblPr>
        <w:tblStyle w:val="29"/>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5" w:type="dxa"/>
          </w:tcPr>
          <w:p>
            <w:pPr>
              <w:spacing w:beforeAutospacing="0" w:after="180" w:afterLines="0"/>
              <w:rPr>
                <w:rFonts w:ascii="Arial" w:hAnsi="Arial" w:eastAsia="宋体" w:cs="Arial"/>
                <w:szCs w:val="28"/>
              </w:rPr>
            </w:pPr>
            <w:r>
              <w:rPr>
                <w:rFonts w:ascii="Arial" w:hAnsi="Arial" w:eastAsia="宋体" w:cs="Arial"/>
                <w:szCs w:val="28"/>
              </w:rPr>
              <w:t>7  Uplink Power Control</w:t>
            </w:r>
          </w:p>
          <w:p>
            <w:pPr>
              <w:spacing w:after="180"/>
              <w:jc w:val="center"/>
              <w:rPr>
                <w:rFonts w:eastAsia="宋体"/>
                <w:color w:val="FF0000"/>
              </w:rPr>
            </w:pPr>
            <w:r>
              <w:rPr>
                <w:rFonts w:eastAsia="宋体"/>
                <w:color w:val="FF0000"/>
              </w:rPr>
              <w:t>&lt;Irrelevant parts are omitted&gt;</w:t>
            </w:r>
          </w:p>
          <w:p>
            <w:pPr>
              <w:spacing w:after="180"/>
              <w:rPr>
                <w:lang w:eastAsia="ko-KR"/>
              </w:rPr>
            </w:pPr>
            <w:r>
              <w:rPr>
                <w:lang w:eastAsia="ko-KR"/>
              </w:rPr>
              <w:t xml:space="preserve">In the remaining of this clause, if a UE is provided </w:t>
            </w:r>
            <w:r>
              <w:rPr>
                <w:rFonts w:cs="Times"/>
                <w:i/>
                <w:iCs/>
                <w:szCs w:val="18"/>
              </w:rPr>
              <w:t>TCI-State</w:t>
            </w:r>
            <w:r>
              <w:rPr>
                <w:rFonts w:cs="Times"/>
                <w:iCs/>
                <w:szCs w:val="18"/>
              </w:rPr>
              <w:t xml:space="preserve"> in</w:t>
            </w:r>
            <w:r>
              <w:t xml:space="preserve"> </w:t>
            </w:r>
            <w:r>
              <w:rPr>
                <w:rFonts w:cs="Times"/>
                <w:i/>
                <w:szCs w:val="18"/>
              </w:rPr>
              <w:t>dl-OrJointTCI-StateList</w:t>
            </w:r>
            <w:r>
              <w:rPr>
                <w:rFonts w:cs="Times"/>
                <w:iCs/>
                <w:szCs w:val="18"/>
              </w:rPr>
              <w:t xml:space="preserve"> or</w:t>
            </w:r>
            <w:r>
              <w:t xml:space="preserve"> </w:t>
            </w:r>
            <w:r>
              <w:rPr>
                <w:i/>
                <w:iCs/>
              </w:rPr>
              <w:t>TCI-UL-State,</w:t>
            </w:r>
            <w:r>
              <w:rPr>
                <w:lang w:eastAsia="ko-KR"/>
              </w:rPr>
              <w:t xml:space="preserve"> and for each indicated one or two </w:t>
            </w:r>
            <w:r>
              <w:rPr>
                <w:rFonts w:cs="Times"/>
                <w:i/>
                <w:iCs/>
                <w:szCs w:val="18"/>
              </w:rPr>
              <w:t>TCI-State</w:t>
            </w:r>
            <w:r>
              <w:rPr>
                <w:rFonts w:cs="Times"/>
                <w:iCs/>
                <w:szCs w:val="18"/>
              </w:rPr>
              <w:t xml:space="preserve"> or</w:t>
            </w:r>
            <w:r>
              <w:t xml:space="preserve"> </w:t>
            </w:r>
            <w:r>
              <w:rPr>
                <w:i/>
                <w:iCs/>
              </w:rPr>
              <w:t>TCI-UL-State</w:t>
            </w:r>
            <w:r>
              <w:t xml:space="preserve"> of a PUSCH, PUCCH, or SRS transmission occasion as described in [6, TS 38.214]</w:t>
            </w:r>
            <w:r>
              <w:rPr>
                <w:lang w:eastAsia="ko-KR"/>
              </w:rPr>
              <w:t xml:space="preserve"> </w:t>
            </w:r>
          </w:p>
          <w:p>
            <w:pPr>
              <w:pStyle w:val="69"/>
              <w:spacing w:before="108" w:after="108"/>
              <w:jc w:val="center"/>
            </w:pPr>
            <w:r>
              <w:rPr>
                <w:rFonts w:hint="eastAsia" w:eastAsia="宋体"/>
                <w:color w:val="FF0000"/>
              </w:rPr>
              <w:t>&lt;Irrelevant parts are omitted&gt;</w:t>
            </w:r>
          </w:p>
          <w:p>
            <w:pPr>
              <w:pStyle w:val="69"/>
              <w:spacing w:before="108" w:after="108"/>
            </w:pPr>
            <w:r>
              <w:t>-</w:t>
            </w:r>
            <w:r>
              <w:tab/>
            </w:r>
            <w:r>
              <w:t xml:space="preserve">in clause 7.3.1, if </w:t>
            </w:r>
            <w:r>
              <w:rPr>
                <w:i/>
              </w:rPr>
              <w:t>p0AlphaSetforSRS</w:t>
            </w:r>
            <w:r>
              <w:t xml:space="preserve"> is provided, </w:t>
            </w:r>
          </w:p>
          <w:p>
            <w:pPr>
              <w:pStyle w:val="58"/>
              <w:spacing w:before="108" w:after="180"/>
            </w:pPr>
            <w:r>
              <w:t>-</w:t>
            </w:r>
            <w:r>
              <w:tab/>
            </w:r>
            <w:r>
              <w:t xml:space="preserve">if </w:t>
            </w:r>
            <w:r>
              <w:rPr>
                <w:i/>
                <w:iCs/>
              </w:rPr>
              <w:t>followUnifiedTCI</w:t>
            </w:r>
            <w:r>
              <w:rPr>
                <w:i/>
                <w:iCs/>
                <w:lang w:val="en-GB"/>
              </w:rPr>
              <w:t>-S</w:t>
            </w:r>
            <w:r>
              <w:rPr>
                <w:i/>
                <w:iCs/>
              </w:rPr>
              <w:t>tateSRS</w:t>
            </w:r>
            <w:r>
              <w:t xml:space="preserve"> is provided for a SRS resource set, </w:t>
            </w:r>
            <w:r>
              <w:rPr>
                <w:lang w:eastAsia="ko-KR"/>
              </w:rPr>
              <w:t>the values of</w:t>
            </w:r>
            <w:r>
              <w:rPr>
                <w:lang w:val="en-GB" w:eastAsia="ko-KR"/>
              </w:rPr>
              <w:t xml:space="preserve"> </w:t>
            </w:r>
            <w:r>
              <w:rPr>
                <w:lang w:eastAsia="ko-KR"/>
              </w:rPr>
              <w:t xml:space="preserve">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iCs/>
                    </w:rPr>
                    <m:t>O_UE_SRS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d>
                <m:dPr>
                  <m:ctrlPr>
                    <w:rPr>
                      <w:rFonts w:ascii="Cambria Math" w:hAnsi="Cambria Math"/>
                    </w:rPr>
                  </m:ctrlPr>
                </m:dPr>
                <m:e>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rPr>
                        <m:t>s</m:t>
                      </m:r>
                      <m:ctrlPr>
                        <w:rPr>
                          <w:rFonts w:ascii="Cambria Math" w:hAnsi="Cambria Math"/>
                          <w:iCs/>
                        </w:rPr>
                      </m:ctrlPr>
                    </m:sub>
                  </m:sSub>
                  <m:ctrlPr>
                    <w:rPr>
                      <w:rFonts w:ascii="Cambria Math" w:hAnsi="Cambria Math"/>
                    </w:rPr>
                  </m:ctrlPr>
                </m:e>
              </m:d>
            </m:oMath>
            <w:r>
              <w:t xml:space="preserve">, </w:t>
            </w:r>
            <m:oMath>
              <m:sSub>
                <m:sSubPr>
                  <m:ctrlPr>
                    <w:rPr>
                      <w:rFonts w:ascii="Cambria Math" w:hAnsi="Cambria Math"/>
                      <w:iCs/>
                    </w:rPr>
                  </m:ctrlPr>
                </m:sSubPr>
                <m:e>
                  <m:r>
                    <m:rPr/>
                    <w:rPr>
                      <w:rFonts w:ascii="Cambria Math" w:hAnsi="Cambria Math"/>
                    </w:rPr>
                    <m:t>α</m:t>
                  </m:r>
                  <m:ctrlPr>
                    <w:rPr>
                      <w:rFonts w:ascii="Cambria Math" w:hAnsi="Cambria Math"/>
                      <w:iCs/>
                    </w:rPr>
                  </m:ctrlPr>
                </m:e>
                <m:sub>
                  <m:r>
                    <m:rPr>
                      <m:sty m:val="p"/>
                    </m:rPr>
                    <w:rPr>
                      <w:rFonts w:ascii="Cambria Math"/>
                    </w:rPr>
                    <m:t>SRS</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d>
                <m:dPr>
                  <m:ctrlPr>
                    <w:rPr>
                      <w:rFonts w:ascii="Cambria Math" w:hAnsi="Cambria Math"/>
                    </w:rPr>
                  </m:ctrlPr>
                </m:dPr>
                <m:e>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rPr>
                        <m:t>s</m:t>
                      </m:r>
                      <m:ctrlPr>
                        <w:rPr>
                          <w:rFonts w:ascii="Cambria Math" w:hAnsi="Cambria Math"/>
                          <w:iCs/>
                        </w:rPr>
                      </m:ctrlPr>
                    </m:sub>
                  </m:sSub>
                  <m:ctrlPr>
                    <w:rPr>
                      <w:rFonts w:ascii="Cambria Math" w:hAnsi="Cambria Math"/>
                    </w:rPr>
                  </m:ctrlPr>
                </m:e>
              </m:d>
            </m:oMath>
            <w:r>
              <w:t xml:space="preserve">, and SRS power control adjustment state </w:t>
            </w:r>
            <m:oMath>
              <m:r>
                <m:rPr/>
                <w:rPr>
                  <w:rFonts w:ascii="Cambria Math" w:hAnsi="Cambria Math"/>
                </w:rPr>
                <m:t>l</m:t>
              </m:r>
            </m:oMath>
            <w:r>
              <w:t xml:space="preserve"> are provided by </w:t>
            </w:r>
            <w:r>
              <w:rPr>
                <w:i/>
              </w:rPr>
              <w:t>p0AlphaSetforSRS</w:t>
            </w:r>
            <w:r>
              <w:t xml:space="preserve"> associated with the indicated </w:t>
            </w:r>
            <w:r>
              <w:rPr>
                <w:i/>
                <w:iCs/>
              </w:rPr>
              <w:t>TCI</w:t>
            </w:r>
            <w:r>
              <w:rPr>
                <w:i/>
                <w:iCs/>
                <w:lang w:val="en-GB"/>
              </w:rPr>
              <w:t>-</w:t>
            </w:r>
            <w:r>
              <w:rPr>
                <w:i/>
                <w:iCs/>
              </w:rPr>
              <w:t>State</w:t>
            </w:r>
            <w:r>
              <w:t xml:space="preserve"> or </w:t>
            </w:r>
            <w:r>
              <w:rPr>
                <w:i/>
                <w:iCs/>
              </w:rPr>
              <w:t>TCI-UL-State</w:t>
            </w:r>
          </w:p>
          <w:p>
            <w:pPr>
              <w:pStyle w:val="58"/>
              <w:spacing w:before="108" w:after="180"/>
            </w:pPr>
            <w:r>
              <w:t>-</w:t>
            </w:r>
            <w:r>
              <w:tab/>
            </w:r>
            <w:r>
              <w:t xml:space="preserve">else, </w:t>
            </w:r>
            <w:r>
              <w:rPr>
                <w:highlight w:val="yellow"/>
              </w:rPr>
              <w:t xml:space="preserve">if </w:t>
            </w:r>
            <w:r>
              <w:rPr>
                <w:i/>
                <w:iCs/>
                <w:highlight w:val="yellow"/>
              </w:rPr>
              <w:t>followUnifiedTCI</w:t>
            </w:r>
            <w:r>
              <w:rPr>
                <w:i/>
                <w:iCs/>
                <w:highlight w:val="yellow"/>
                <w:lang w:val="en-GB"/>
              </w:rPr>
              <w:t>-S</w:t>
            </w:r>
            <w:r>
              <w:rPr>
                <w:i/>
                <w:iCs/>
                <w:highlight w:val="yellow"/>
              </w:rPr>
              <w:t>tateSRS</w:t>
            </w:r>
            <w:r>
              <w:rPr>
                <w:highlight w:val="yellow"/>
              </w:rPr>
              <w:t xml:space="preserve"> is not provided for a SRS resource set and for a SRS resource from the SRS resource set</w:t>
            </w:r>
            <w:r>
              <w:rPr>
                <w:highlight w:val="yellow"/>
                <w:lang w:val="en-GB"/>
              </w:rPr>
              <w:t>,</w:t>
            </w:r>
            <w:r>
              <w:rPr>
                <w:highlight w:val="yellow"/>
                <w:lang w:eastAsia="ko-KR"/>
              </w:rPr>
              <w:t xml:space="preserve"> the values of </w:t>
            </w:r>
            <m:oMath>
              <m:sSub>
                <m:sSubPr>
                  <m:ctrlPr>
                    <w:rPr>
                      <w:rFonts w:ascii="Cambria Math" w:hAnsi="Cambria Math"/>
                      <w:iCs/>
                      <w:highlight w:val="yellow"/>
                    </w:rPr>
                  </m:ctrlPr>
                </m:sSubPr>
                <m:e>
                  <m:r>
                    <m:rPr/>
                    <w:rPr>
                      <w:rFonts w:ascii="Cambria Math" w:hAnsi="Cambria Math"/>
                      <w:highlight w:val="yellow"/>
                    </w:rPr>
                    <m:t>P</m:t>
                  </m:r>
                  <m:ctrlPr>
                    <w:rPr>
                      <w:rFonts w:ascii="Cambria Math" w:hAnsi="Cambria Math"/>
                      <w:iCs/>
                      <w:highlight w:val="yellow"/>
                    </w:rPr>
                  </m:ctrlPr>
                </m:e>
                <m:sub>
                  <m:r>
                    <m:rPr>
                      <m:nor/>
                      <m:sty m:val="p"/>
                    </m:rPr>
                    <w:rPr>
                      <w:rFonts w:ascii="Cambria Math"/>
                      <w:iCs/>
                      <w:highlight w:val="yellow"/>
                    </w:rPr>
                    <m:t>O_UE_SRS</m:t>
                  </m:r>
                  <m:r>
                    <m:rPr>
                      <m:sty m:val="p"/>
                    </m:rPr>
                    <w:rPr>
                      <w:rFonts w:ascii="Cambria Math"/>
                      <w:highlight w:val="yellow"/>
                    </w:rPr>
                    <m:t>,</m:t>
                  </m:r>
                  <m:r>
                    <m:rPr/>
                    <w:rPr>
                      <w:rFonts w:ascii="Cambria Math"/>
                      <w:highlight w:val="yellow"/>
                    </w:rPr>
                    <m:t>b</m:t>
                  </m:r>
                  <m:r>
                    <m:rPr>
                      <m:sty m:val="p"/>
                    </m:rPr>
                    <w:rPr>
                      <w:rFonts w:ascii="Cambria Math"/>
                      <w:highlight w:val="yellow"/>
                    </w:rPr>
                    <m:t>,</m:t>
                  </m:r>
                  <m:r>
                    <m:rPr/>
                    <w:rPr>
                      <w:rFonts w:ascii="Cambria Math"/>
                      <w:highlight w:val="yellow"/>
                    </w:rPr>
                    <m:t>f</m:t>
                  </m:r>
                  <m:r>
                    <m:rPr>
                      <m:sty m:val="p"/>
                    </m:rPr>
                    <w:rPr>
                      <w:rFonts w:ascii="Cambria Math"/>
                      <w:highlight w:val="yellow"/>
                    </w:rPr>
                    <m:t>,</m:t>
                  </m:r>
                  <m:r>
                    <m:rPr/>
                    <w:rPr>
                      <w:rFonts w:ascii="Cambria Math"/>
                      <w:highlight w:val="yellow"/>
                    </w:rPr>
                    <m:t>c</m:t>
                  </m:r>
                  <m:ctrlPr>
                    <w:rPr>
                      <w:rFonts w:ascii="Cambria Math" w:hAnsi="Cambria Math"/>
                      <w:iCs/>
                      <w:highlight w:val="yellow"/>
                    </w:rPr>
                  </m:ctrlPr>
                </m:sub>
              </m:sSub>
              <m:d>
                <m:dPr>
                  <m:ctrlPr>
                    <w:rPr>
                      <w:rFonts w:ascii="Cambria Math" w:hAnsi="Cambria Math"/>
                      <w:highlight w:val="yellow"/>
                    </w:rPr>
                  </m:ctrlPr>
                </m:dPr>
                <m:e>
                  <m:sSub>
                    <m:sSubPr>
                      <m:ctrlPr>
                        <w:rPr>
                          <w:rFonts w:ascii="Cambria Math" w:hAnsi="Cambria Math"/>
                          <w:iCs/>
                          <w:highlight w:val="yellow"/>
                        </w:rPr>
                      </m:ctrlPr>
                    </m:sSubPr>
                    <m:e>
                      <m:r>
                        <m:rPr/>
                        <w:rPr>
                          <w:rFonts w:ascii="Cambria Math" w:hAnsi="Cambria Math"/>
                          <w:highlight w:val="yellow"/>
                        </w:rPr>
                        <m:t>q</m:t>
                      </m:r>
                      <m:ctrlPr>
                        <w:rPr>
                          <w:rFonts w:ascii="Cambria Math" w:hAnsi="Cambria Math"/>
                          <w:iCs/>
                          <w:highlight w:val="yellow"/>
                        </w:rPr>
                      </m:ctrlPr>
                    </m:e>
                    <m:sub>
                      <m:r>
                        <m:rPr/>
                        <w:rPr>
                          <w:rFonts w:ascii="Cambria Math"/>
                          <w:highlight w:val="yellow"/>
                        </w:rPr>
                        <m:t>s</m:t>
                      </m:r>
                      <m:ctrlPr>
                        <w:rPr>
                          <w:rFonts w:ascii="Cambria Math" w:hAnsi="Cambria Math"/>
                          <w:iCs/>
                          <w:highlight w:val="yellow"/>
                        </w:rPr>
                      </m:ctrlPr>
                    </m:sub>
                  </m:sSub>
                  <m:ctrlPr>
                    <w:rPr>
                      <w:rFonts w:ascii="Cambria Math" w:hAnsi="Cambria Math"/>
                      <w:highlight w:val="yellow"/>
                    </w:rPr>
                  </m:ctrlPr>
                </m:e>
              </m:d>
            </m:oMath>
            <w:r>
              <w:rPr>
                <w:highlight w:val="yellow"/>
              </w:rPr>
              <w:t xml:space="preserve">, </w:t>
            </w:r>
            <m:oMath>
              <m:sSub>
                <m:sSubPr>
                  <m:ctrlPr>
                    <w:rPr>
                      <w:rFonts w:ascii="Cambria Math" w:hAnsi="Cambria Math"/>
                      <w:iCs/>
                      <w:highlight w:val="yellow"/>
                    </w:rPr>
                  </m:ctrlPr>
                </m:sSubPr>
                <m:e>
                  <m:r>
                    <m:rPr/>
                    <w:rPr>
                      <w:rFonts w:ascii="Cambria Math" w:hAnsi="Cambria Math"/>
                      <w:highlight w:val="yellow"/>
                    </w:rPr>
                    <m:t>α</m:t>
                  </m:r>
                  <m:ctrlPr>
                    <w:rPr>
                      <w:rFonts w:ascii="Cambria Math" w:hAnsi="Cambria Math"/>
                      <w:iCs/>
                      <w:highlight w:val="yellow"/>
                    </w:rPr>
                  </m:ctrlPr>
                </m:e>
                <m:sub>
                  <m:r>
                    <m:rPr>
                      <m:sty m:val="p"/>
                    </m:rPr>
                    <w:rPr>
                      <w:rFonts w:ascii="Cambria Math"/>
                      <w:highlight w:val="yellow"/>
                    </w:rPr>
                    <m:t>SRS</m:t>
                  </m:r>
                  <m:r>
                    <m:rPr/>
                    <w:rPr>
                      <w:rFonts w:ascii="Cambria Math"/>
                      <w:highlight w:val="yellow"/>
                    </w:rPr>
                    <m:t>,b</m:t>
                  </m:r>
                  <m:r>
                    <m:rPr>
                      <m:sty m:val="p"/>
                    </m:rPr>
                    <w:rPr>
                      <w:rFonts w:ascii="Cambria Math"/>
                      <w:highlight w:val="yellow"/>
                    </w:rPr>
                    <m:t>,</m:t>
                  </m:r>
                  <m:r>
                    <m:rPr/>
                    <w:rPr>
                      <w:rFonts w:ascii="Cambria Math"/>
                      <w:highlight w:val="yellow"/>
                    </w:rPr>
                    <m:t>f</m:t>
                  </m:r>
                  <m:r>
                    <m:rPr>
                      <m:sty m:val="p"/>
                    </m:rPr>
                    <w:rPr>
                      <w:rFonts w:ascii="Cambria Math"/>
                      <w:highlight w:val="yellow"/>
                    </w:rPr>
                    <m:t>,</m:t>
                  </m:r>
                  <m:r>
                    <m:rPr/>
                    <w:rPr>
                      <w:rFonts w:ascii="Cambria Math"/>
                      <w:highlight w:val="yellow"/>
                    </w:rPr>
                    <m:t>c</m:t>
                  </m:r>
                  <m:ctrlPr>
                    <w:rPr>
                      <w:rFonts w:ascii="Cambria Math" w:hAnsi="Cambria Math"/>
                      <w:iCs/>
                      <w:highlight w:val="yellow"/>
                    </w:rPr>
                  </m:ctrlPr>
                </m:sub>
              </m:sSub>
              <m:d>
                <m:dPr>
                  <m:ctrlPr>
                    <w:rPr>
                      <w:rFonts w:ascii="Cambria Math" w:hAnsi="Cambria Math"/>
                      <w:highlight w:val="yellow"/>
                    </w:rPr>
                  </m:ctrlPr>
                </m:dPr>
                <m:e>
                  <m:sSub>
                    <m:sSubPr>
                      <m:ctrlPr>
                        <w:rPr>
                          <w:rFonts w:ascii="Cambria Math" w:hAnsi="Cambria Math"/>
                          <w:iCs/>
                          <w:highlight w:val="yellow"/>
                        </w:rPr>
                      </m:ctrlPr>
                    </m:sSubPr>
                    <m:e>
                      <m:r>
                        <m:rPr/>
                        <w:rPr>
                          <w:rFonts w:ascii="Cambria Math" w:hAnsi="Cambria Math"/>
                          <w:highlight w:val="yellow"/>
                        </w:rPr>
                        <m:t>q</m:t>
                      </m:r>
                      <m:ctrlPr>
                        <w:rPr>
                          <w:rFonts w:ascii="Cambria Math" w:hAnsi="Cambria Math"/>
                          <w:iCs/>
                          <w:highlight w:val="yellow"/>
                        </w:rPr>
                      </m:ctrlPr>
                    </m:e>
                    <m:sub>
                      <m:r>
                        <m:rPr/>
                        <w:rPr>
                          <w:rFonts w:ascii="Cambria Math"/>
                          <w:highlight w:val="yellow"/>
                        </w:rPr>
                        <m:t>s</m:t>
                      </m:r>
                      <m:ctrlPr>
                        <w:rPr>
                          <w:rFonts w:ascii="Cambria Math" w:hAnsi="Cambria Math"/>
                          <w:iCs/>
                          <w:highlight w:val="yellow"/>
                        </w:rPr>
                      </m:ctrlPr>
                    </m:sub>
                  </m:sSub>
                  <m:ctrlPr>
                    <w:rPr>
                      <w:rFonts w:ascii="Cambria Math" w:hAnsi="Cambria Math"/>
                      <w:highlight w:val="yellow"/>
                    </w:rPr>
                  </m:ctrlPr>
                </m:e>
              </m:d>
            </m:oMath>
            <w:r>
              <w:rPr>
                <w:highlight w:val="yellow"/>
              </w:rPr>
              <w:t xml:space="preserve">, and SRS power control adjustment state </w:t>
            </w:r>
            <m:oMath>
              <m:r>
                <m:rPr/>
                <w:rPr>
                  <w:rFonts w:ascii="Cambria Math" w:hAnsi="Cambria Math"/>
                  <w:highlight w:val="yellow"/>
                </w:rPr>
                <m:t>l</m:t>
              </m:r>
            </m:oMath>
            <w:r>
              <w:rPr>
                <w:highlight w:val="yellow"/>
              </w:rPr>
              <w:t xml:space="preserve"> are provided by </w:t>
            </w:r>
            <w:r>
              <w:rPr>
                <w:i/>
                <w:highlight w:val="yellow"/>
              </w:rPr>
              <w:t>p0AlphaSetforSRS</w:t>
            </w:r>
            <w:r>
              <w:rPr>
                <w:highlight w:val="yellow"/>
              </w:rPr>
              <w:t xml:space="preserve"> associated with </w:t>
            </w:r>
            <w:r>
              <w:rPr>
                <w:i/>
                <w:iCs/>
                <w:highlight w:val="yellow"/>
              </w:rPr>
              <w:t>TCI-State</w:t>
            </w:r>
            <w:r>
              <w:rPr>
                <w:highlight w:val="yellow"/>
              </w:rPr>
              <w:t xml:space="preserve"> or </w:t>
            </w:r>
            <w:r>
              <w:rPr>
                <w:i/>
                <w:iCs/>
                <w:highlight w:val="yellow"/>
              </w:rPr>
              <w:t xml:space="preserve">TCI-UL-State </w:t>
            </w:r>
            <w:r>
              <w:rPr>
                <w:highlight w:val="yellow"/>
              </w:rPr>
              <w:t xml:space="preserve">of an SRS resource with lowest </w:t>
            </w:r>
            <w:r>
              <w:rPr>
                <w:i/>
                <w:iCs/>
                <w:highlight w:val="yellow"/>
              </w:rPr>
              <w:t>SRS-ResourceId</w:t>
            </w:r>
            <w:r>
              <w:rPr>
                <w:highlight w:val="yellow"/>
              </w:rPr>
              <w:t xml:space="preserve"> in the SRS resource set and a RS index </w:t>
            </w:r>
            <m:oMath>
              <m:sSub>
                <m:sSubPr>
                  <m:ctrlPr>
                    <w:rPr>
                      <w:rFonts w:ascii="Cambria Math" w:hAnsi="Cambria Math"/>
                      <w:iCs/>
                      <w:highlight w:val="yellow"/>
                    </w:rPr>
                  </m:ctrlPr>
                </m:sSubPr>
                <m:e>
                  <m:r>
                    <m:rPr/>
                    <w:rPr>
                      <w:rFonts w:ascii="Cambria Math" w:hAnsi="Cambria Math"/>
                      <w:highlight w:val="yellow"/>
                    </w:rPr>
                    <m:t>q</m:t>
                  </m:r>
                  <m:ctrlPr>
                    <w:rPr>
                      <w:rFonts w:ascii="Cambria Math" w:hAnsi="Cambria Math"/>
                      <w:iCs/>
                      <w:highlight w:val="yellow"/>
                    </w:rPr>
                  </m:ctrlPr>
                </m:e>
                <m:sub>
                  <m:r>
                    <m:rPr/>
                    <w:rPr>
                      <w:rFonts w:ascii="Cambria Math"/>
                      <w:highlight w:val="yellow"/>
                    </w:rPr>
                    <m:t>d</m:t>
                  </m:r>
                  <m:ctrlPr>
                    <w:rPr>
                      <w:rFonts w:ascii="Cambria Math" w:hAnsi="Cambria Math"/>
                      <w:iCs/>
                      <w:highlight w:val="yellow"/>
                    </w:rPr>
                  </m:ctrlPr>
                </m:sub>
              </m:sSub>
            </m:oMath>
            <w:r>
              <w:rPr>
                <w:iCs/>
                <w:highlight w:val="yellow"/>
              </w:rPr>
              <w:t xml:space="preserve"> </w:t>
            </w:r>
            <w:r>
              <w:rPr>
                <w:highlight w:val="yellow"/>
              </w:rPr>
              <w:t xml:space="preserve">for obtaining a pathloss estimate for the SRS transmission is provided by </w:t>
            </w:r>
            <w:r>
              <w:rPr>
                <w:i/>
                <w:highlight w:val="yellow"/>
              </w:rPr>
              <w:t>pathlossReferenceRS-Id-r17</w:t>
            </w:r>
            <w:r>
              <w:rPr>
                <w:highlight w:val="yellow"/>
              </w:rPr>
              <w:t xml:space="preserve"> associated with or included in the </w:t>
            </w:r>
            <w:r>
              <w:rPr>
                <w:i/>
                <w:iCs/>
                <w:highlight w:val="yellow"/>
              </w:rPr>
              <w:t>TCI-State</w:t>
            </w:r>
            <w:r>
              <w:rPr>
                <w:highlight w:val="yellow"/>
              </w:rPr>
              <w:t xml:space="preserve"> or </w:t>
            </w:r>
            <w:r>
              <w:rPr>
                <w:i/>
                <w:iCs/>
                <w:highlight w:val="yellow"/>
              </w:rPr>
              <w:t>TCI-UL-State</w:t>
            </w:r>
            <w:r>
              <w:rPr>
                <w:highlight w:val="yellow"/>
              </w:rPr>
              <w:t xml:space="preserve"> of an SRS resource with lowest </w:t>
            </w:r>
            <w:r>
              <w:rPr>
                <w:i/>
                <w:iCs/>
                <w:highlight w:val="yellow"/>
              </w:rPr>
              <w:t>SRS-ResourceId</w:t>
            </w:r>
            <w:r>
              <w:rPr>
                <w:highlight w:val="yellow"/>
              </w:rPr>
              <w:t xml:space="preserve"> in the SRS resource set</w:t>
            </w:r>
          </w:p>
          <w:p>
            <w:pPr>
              <w:pStyle w:val="58"/>
              <w:spacing w:before="108" w:after="180"/>
              <w:ind w:left="567"/>
              <w:rPr>
                <w:lang w:eastAsia="ko-KR"/>
              </w:rPr>
            </w:pP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iCs/>
                    </w:rPr>
                    <m:t>O_SRS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d>
                <m:dPr>
                  <m:ctrlPr>
                    <w:rPr>
                      <w:rFonts w:ascii="Cambria Math" w:hAnsi="Cambria Math"/>
                    </w:rPr>
                  </m:ctrlPr>
                </m:dPr>
                <m:e>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rPr>
                        <m:t>s</m:t>
                      </m:r>
                      <m:ctrlPr>
                        <w:rPr>
                          <w:rFonts w:ascii="Cambria Math" w:hAnsi="Cambria Math"/>
                          <w:iCs/>
                        </w:rPr>
                      </m:ctrlPr>
                    </m:sub>
                  </m:sSub>
                  <m:ctrlPr>
                    <w:rPr>
                      <w:rFonts w:ascii="Cambria Math" w:hAnsi="Cambria Math"/>
                    </w:rPr>
                  </m:ctrlPr>
                </m:e>
              </m:d>
            </m:oMath>
            <w:r>
              <w:t xml:space="preserve"> is the sum of the component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iCs/>
                    </w:rPr>
                    <m:t>O_UE_SRS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d>
                <m:dPr>
                  <m:ctrlPr>
                    <w:rPr>
                      <w:rFonts w:ascii="Cambria Math" w:hAnsi="Cambria Math"/>
                    </w:rPr>
                  </m:ctrlPr>
                </m:dPr>
                <m:e>
                  <m:sSub>
                    <m:sSubPr>
                      <m:ctrlPr>
                        <w:rPr>
                          <w:rFonts w:ascii="Cambria Math" w:hAnsi="Cambria Math"/>
                          <w:iCs/>
                        </w:rPr>
                      </m:ctrlPr>
                    </m:sSubPr>
                    <m:e>
                      <m:r>
                        <m:rPr/>
                        <w:rPr>
                          <w:rFonts w:ascii="Cambria Math" w:hAnsi="Cambria Math"/>
                        </w:rPr>
                        <m:t>q</m:t>
                      </m:r>
                      <m:ctrlPr>
                        <w:rPr>
                          <w:rFonts w:ascii="Cambria Math" w:hAnsi="Cambria Math"/>
                          <w:iCs/>
                        </w:rPr>
                      </m:ctrlPr>
                    </m:e>
                    <m:sub>
                      <m:r>
                        <m:rPr/>
                        <w:rPr>
                          <w:rFonts w:ascii="Cambria Math"/>
                        </w:rPr>
                        <m:t>s</m:t>
                      </m:r>
                      <m:ctrlPr>
                        <w:rPr>
                          <w:rFonts w:ascii="Cambria Math" w:hAnsi="Cambria Math"/>
                          <w:iCs/>
                        </w:rPr>
                      </m:ctrlPr>
                    </m:sub>
                  </m:sSub>
                  <m:ctrlPr>
                    <w:rPr>
                      <w:rFonts w:ascii="Cambria Math" w:hAnsi="Cambria Math"/>
                    </w:rPr>
                  </m:ctrlPr>
                </m:e>
              </m:d>
            </m:oMath>
            <w:r>
              <w:rPr>
                <w:iCs/>
              </w:rPr>
              <w:t xml:space="preserve"> and </w:t>
            </w:r>
            <w:r>
              <w:t xml:space="preserve">a component </w:t>
            </w:r>
            <w:r>
              <w:rPr>
                <w:rFonts w:eastAsia="MS Mincho"/>
                <w:i/>
              </w:rPr>
              <w:t>p0</w:t>
            </w:r>
            <w:r>
              <w:rPr>
                <w:rFonts w:eastAsia="MS Mincho"/>
              </w:rPr>
              <w:t xml:space="preserve"> </w:t>
            </w:r>
            <w:r>
              <w:t xml:space="preserve">provided by </w:t>
            </w:r>
            <w:r>
              <w:rPr>
                <w:i/>
              </w:rPr>
              <w:t>SRS-ResourceSet</w:t>
            </w:r>
            <w:r>
              <w:t xml:space="preserve"> corresponding to the SRS resource set.</w:t>
            </w:r>
          </w:p>
          <w:p>
            <w:pPr>
              <w:spacing w:beforeAutospacing="0" w:after="180" w:afterLines="0"/>
              <w:jc w:val="center"/>
              <w:rPr>
                <w:rFonts w:eastAsia="宋体"/>
              </w:rPr>
            </w:pPr>
            <w:r>
              <w:rPr>
                <w:rFonts w:hint="eastAsia" w:eastAsia="宋体"/>
                <w:color w:val="FF0000"/>
              </w:rPr>
              <w:t>&lt;Irrelevant parts are omitted&gt;</w:t>
            </w:r>
          </w:p>
        </w:tc>
      </w:tr>
    </w:tbl>
    <w:p>
      <w:pPr>
        <w:adjustRightInd w:val="0"/>
        <w:spacing w:before="180" w:beforeLines="50" w:beforeAutospacing="0" w:after="180"/>
        <w:jc w:val="both"/>
        <w:rPr>
          <w:rFonts w:eastAsia="宋体"/>
          <w:szCs w:val="20"/>
        </w:rPr>
      </w:pPr>
      <w:r>
        <w:rPr>
          <w:rFonts w:eastAsia="Batang"/>
          <w:szCs w:val="20"/>
          <w:lang w:val="en-GB" w:eastAsia="en-US"/>
        </w:rPr>
        <w:t xml:space="preserve">Besides, it should be noticed that the effectiveness of TCI states that used for SRS transmission will be negatively impacted if going with Alt2. As illustrated in Figure 4, </w:t>
      </w:r>
      <w:r>
        <w:rPr>
          <w:rFonts w:eastAsia="宋体"/>
          <w:szCs w:val="20"/>
        </w:rPr>
        <w:t xml:space="preserve">the dominant use case is that one separate closed loop i0 is used for SRS transmission to UL TRP for beam management and another separate closed loop i1 is used for SRS transmission to </w:t>
      </w:r>
      <w:r>
        <w:rPr>
          <w:rFonts w:hint="eastAsia" w:eastAsia="宋体"/>
          <w:szCs w:val="20"/>
        </w:rPr>
        <w:t xml:space="preserve">Anchor </w:t>
      </w:r>
      <w:r>
        <w:rPr>
          <w:rFonts w:eastAsia="宋体"/>
          <w:szCs w:val="20"/>
        </w:rPr>
        <w:t xml:space="preserve">TRP for DL CSI acquisition. Subsequently, the best beam (i.e., the TCI state with i1 in green of SRS towards UL TRP and the TCI state with i0 in blue of SRS towards </w:t>
      </w:r>
      <w:r>
        <w:rPr>
          <w:rFonts w:hint="eastAsia" w:eastAsia="宋体"/>
          <w:szCs w:val="20"/>
        </w:rPr>
        <w:t xml:space="preserve">Anchor </w:t>
      </w:r>
      <w:r>
        <w:rPr>
          <w:rFonts w:eastAsia="宋体"/>
          <w:szCs w:val="20"/>
        </w:rPr>
        <w:t xml:space="preserve">TRP) cannot be indicated due to the limitation of Alt2 that SRS CLPC adjustment states i0 and i1 are configured by </w:t>
      </w:r>
      <w:r>
        <w:rPr>
          <w:rFonts w:eastAsia="等线"/>
          <w:i/>
          <w:szCs w:val="20"/>
          <w:lang w:val="en-GB" w:eastAsia="en-US"/>
        </w:rPr>
        <w:t>closedLoopIndex-r17</w:t>
      </w:r>
      <w:r>
        <w:rPr>
          <w:rFonts w:eastAsia="等线"/>
          <w:szCs w:val="20"/>
          <w:lang w:val="en-GB" w:eastAsia="en-US"/>
        </w:rPr>
        <w:t xml:space="preserve"> for SRS in the TCI state. The root of this issue lies in </w:t>
      </w:r>
      <w:r>
        <w:rPr>
          <w:rFonts w:eastAsia="宋体"/>
          <w:szCs w:val="20"/>
        </w:rPr>
        <w:t>SRS CLPC adjustment states i0 or i1 always depends on the TCI state used for SRS transmission.</w:t>
      </w:r>
    </w:p>
    <w:p>
      <w:pPr>
        <w:adjustRightInd w:val="0"/>
        <w:spacing w:after="180"/>
        <w:jc w:val="center"/>
        <w:rPr>
          <w:rFonts w:eastAsia="宋体"/>
          <w:sz w:val="22"/>
          <w:szCs w:val="22"/>
        </w:rPr>
      </w:pPr>
      <w:r>
        <w:rPr>
          <w:rFonts w:hint="eastAsia" w:eastAsia="宋体"/>
          <w:sz w:val="22"/>
          <w:szCs w:val="22"/>
        </w:rPr>
        <w:drawing>
          <wp:inline distT="0" distB="0" distL="114300" distR="114300">
            <wp:extent cx="4297045" cy="1703070"/>
            <wp:effectExtent l="0" t="0" r="0" b="0"/>
            <wp:docPr id="4" name="图片 4" descr="UL TRP_fi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L TRP_fig4"/>
                    <pic:cNvPicPr>
                      <a:picLocks noChangeAspect="1"/>
                    </pic:cNvPicPr>
                  </pic:nvPicPr>
                  <pic:blipFill>
                    <a:blip r:embed="rId15"/>
                    <a:stretch>
                      <a:fillRect/>
                    </a:stretch>
                  </pic:blipFill>
                  <pic:spPr>
                    <a:xfrm>
                      <a:off x="0" y="0"/>
                      <a:ext cx="4297045" cy="1703070"/>
                    </a:xfrm>
                    <a:prstGeom prst="rect">
                      <a:avLst/>
                    </a:prstGeom>
                  </pic:spPr>
                </pic:pic>
              </a:graphicData>
            </a:graphic>
          </wp:inline>
        </w:drawing>
      </w:r>
    </w:p>
    <w:p>
      <w:pPr>
        <w:adjustRightInd w:val="0"/>
        <w:spacing w:after="180"/>
        <w:jc w:val="center"/>
        <w:rPr>
          <w:rFonts w:eastAsia="宋体"/>
          <w:szCs w:val="20"/>
          <w:lang w:val="en-GB"/>
        </w:rPr>
      </w:pPr>
      <w:r>
        <w:rPr>
          <w:rFonts w:hint="eastAsia" w:eastAsia="宋体"/>
          <w:b/>
          <w:bCs/>
          <w:szCs w:val="20"/>
        </w:rPr>
        <w:t xml:space="preserve">Figure </w:t>
      </w:r>
      <w:r>
        <w:rPr>
          <w:rFonts w:eastAsia="宋体"/>
          <w:b/>
          <w:bCs/>
          <w:szCs w:val="20"/>
        </w:rPr>
        <w:t>4</w:t>
      </w:r>
      <w:r>
        <w:rPr>
          <w:rFonts w:hint="eastAsia" w:eastAsia="宋体"/>
          <w:szCs w:val="20"/>
        </w:rPr>
        <w:tab/>
      </w:r>
      <w:r>
        <w:rPr>
          <w:rFonts w:eastAsia="宋体"/>
          <w:szCs w:val="20"/>
        </w:rPr>
        <w:t xml:space="preserve">Potential issue of TCI states for SRS transmission when </w:t>
      </w:r>
      <w:r>
        <w:rPr>
          <w:rFonts w:ascii="Times" w:hAnsi="Times" w:eastAsia="等线" w:cs="Batang"/>
          <w:i/>
          <w:szCs w:val="20"/>
          <w:lang w:val="en-GB" w:eastAsia="en-US"/>
        </w:rPr>
        <w:t>closedLoopIndex-r17</w:t>
      </w:r>
      <w:r>
        <w:rPr>
          <w:rFonts w:ascii="Times" w:hAnsi="Times" w:eastAsia="等线" w:cs="Batang"/>
          <w:szCs w:val="20"/>
          <w:lang w:val="en-GB" w:eastAsia="en-US"/>
        </w:rPr>
        <w:t xml:space="preserve"> for SRS in the TCI state is used to indicate one of the SRS CLPC adjustment states</w:t>
      </w:r>
    </w:p>
    <w:p>
      <w:pPr>
        <w:adjustRightInd w:val="0"/>
        <w:spacing w:before="180" w:beforeLines="50" w:beforeAutospacing="0" w:after="180"/>
        <w:jc w:val="both"/>
        <w:rPr>
          <w:rFonts w:eastAsia="宋体"/>
          <w:szCs w:val="20"/>
        </w:rPr>
      </w:pPr>
      <w:r>
        <w:rPr>
          <w:rFonts w:ascii="Times" w:hAnsi="Times" w:eastAsia="等线" w:cs="Batang"/>
          <w:szCs w:val="20"/>
          <w:lang w:val="en-GB" w:eastAsia="en-US"/>
        </w:rPr>
        <w:t xml:space="preserve">By comparison, Alt1 reached in RAN1#116 meeting that one out of two separate SRS CLPC adjustment states can be configured in SRS resource set should be adopted as the extra rule to address this issue, where the separate SRS CLPC adjustment state i0 or i1 can be decoupled with the </w:t>
      </w:r>
      <w:r>
        <w:rPr>
          <w:rFonts w:eastAsia="宋体"/>
          <w:szCs w:val="20"/>
        </w:rPr>
        <w:t xml:space="preserve">TCI state used for SRS transmission. In addition, note that Alt1 and Alt2 do not need to coexist from the perspective of signaling, </w:t>
      </w:r>
      <w:r>
        <w:rPr>
          <w:rFonts w:ascii="Times" w:hAnsi="Times" w:eastAsia="等线" w:cs="Batang"/>
          <w:i/>
          <w:szCs w:val="20"/>
          <w:lang w:val="en-GB" w:eastAsia="en-US"/>
        </w:rPr>
        <w:t>closedLoopIndex-r17</w:t>
      </w:r>
      <w:r>
        <w:rPr>
          <w:rFonts w:ascii="Times" w:hAnsi="Times" w:eastAsia="等线" w:cs="Batang"/>
          <w:szCs w:val="20"/>
          <w:lang w:val="en-GB" w:eastAsia="en-US"/>
        </w:rPr>
        <w:t xml:space="preserve"> for SRS in the TCI state </w:t>
      </w:r>
      <w:r>
        <w:rPr>
          <w:rFonts w:eastAsia="等线" w:cs="Batang"/>
          <w:szCs w:val="20"/>
          <w:lang w:eastAsia="en-US"/>
        </w:rPr>
        <w:t>is not to</w:t>
      </w:r>
      <w:r>
        <w:rPr>
          <w:rFonts w:ascii="Times" w:hAnsi="Times" w:eastAsia="等线" w:cs="Batang"/>
          <w:szCs w:val="20"/>
          <w:lang w:val="en-GB" w:eastAsia="en-US"/>
        </w:rPr>
        <w:t xml:space="preserve"> be used to indicate the SRS CLPC adjustment state in this way.</w:t>
      </w:r>
    </w:p>
    <w:p>
      <w:pPr>
        <w:adjustRightInd w:val="0"/>
        <w:spacing w:before="180" w:beforeLines="50" w:beforeAutospacing="0" w:after="0" w:afterLines="0"/>
        <w:jc w:val="both"/>
        <w:rPr>
          <w:rFonts w:eastAsia="宋体"/>
          <w:i/>
          <w:iCs/>
          <w:szCs w:val="20"/>
        </w:rPr>
      </w:pPr>
      <w:r>
        <w:rPr>
          <w:rFonts w:hint="eastAsia" w:eastAsia="宋体"/>
          <w:b/>
          <w:bCs/>
          <w:i/>
          <w:iCs/>
          <w:szCs w:val="20"/>
        </w:rPr>
        <w:t xml:space="preserve">Proposal </w:t>
      </w:r>
      <w:r>
        <w:rPr>
          <w:rFonts w:eastAsia="宋体"/>
          <w:b/>
          <w:bCs/>
          <w:i/>
          <w:iCs/>
          <w:szCs w:val="20"/>
        </w:rPr>
        <w:t>7</w:t>
      </w:r>
      <w:r>
        <w:rPr>
          <w:rFonts w:hint="eastAsia" w:eastAsia="宋体"/>
          <w:b/>
          <w:bCs/>
          <w:i/>
          <w:iCs/>
          <w:szCs w:val="20"/>
        </w:rPr>
        <w:t>:</w:t>
      </w:r>
      <w:r>
        <w:rPr>
          <w:rFonts w:hint="eastAsia" w:eastAsia="宋体"/>
          <w:i/>
          <w:iCs/>
          <w:szCs w:val="20"/>
        </w:rPr>
        <w:t xml:space="preserve"> Support </w:t>
      </w:r>
      <w:r>
        <w:rPr>
          <w:rFonts w:eastAsia="宋体"/>
          <w:i/>
          <w:iCs/>
          <w:szCs w:val="20"/>
        </w:rPr>
        <w:t>that one out of two separate CLPC adjustment states for SRS can be configured to one SRS resource set (Alt1)</w:t>
      </w:r>
      <w:r>
        <w:rPr>
          <w:rFonts w:hint="eastAsia" w:eastAsia="宋体"/>
          <w:i/>
          <w:iCs/>
          <w:szCs w:val="20"/>
        </w:rPr>
        <w:t>.</w:t>
      </w:r>
    </w:p>
    <w:p>
      <w:pPr>
        <w:pStyle w:val="52"/>
        <w:numPr>
          <w:ilvl w:val="0"/>
          <w:numId w:val="11"/>
        </w:numPr>
        <w:spacing w:before="0" w:beforeLines="0" w:after="0" w:afterLines="0" w:line="240" w:lineRule="auto"/>
        <w:ind w:leftChars="0"/>
        <w:rPr>
          <w:rFonts w:eastAsia="宋体"/>
          <w:i/>
          <w:szCs w:val="20"/>
        </w:rPr>
      </w:pPr>
      <w:r>
        <w:rPr>
          <w:rFonts w:eastAsia="宋体"/>
          <w:i/>
          <w:iCs/>
          <w:szCs w:val="20"/>
        </w:rPr>
        <w:t xml:space="preserve">In this way, </w:t>
      </w:r>
      <w:r>
        <w:rPr>
          <w:rFonts w:eastAsia="等线" w:cs="Batang"/>
          <w:i/>
          <w:szCs w:val="20"/>
          <w:lang w:eastAsia="en-US"/>
        </w:rPr>
        <w:t>closedLoopIndex-r17 for SRS in the TCI state is not to be used to indicate the SRS CLPC adjustment state</w:t>
      </w:r>
      <w:r>
        <w:rPr>
          <w:rFonts w:eastAsia="宋体"/>
          <w:i/>
          <w:szCs w:val="20"/>
        </w:rPr>
        <w:t>.</w:t>
      </w:r>
    </w:p>
    <w:p>
      <w:pPr>
        <w:pStyle w:val="2"/>
        <w:keepNext/>
        <w:tabs>
          <w:tab w:val="left" w:pos="3686"/>
          <w:tab w:val="left" w:pos="4536"/>
        </w:tabs>
        <w:spacing w:before="360" w:beforeLines="100" w:after="180" w:line="240" w:lineRule="auto"/>
        <w:textAlignment w:val="baseline"/>
        <w:rPr>
          <w:lang w:val="en-US"/>
        </w:rPr>
      </w:pPr>
      <w:r>
        <w:rPr>
          <w:lang w:val="en-US"/>
        </w:rPr>
        <w:t>Two TAs</w:t>
      </w:r>
    </w:p>
    <w:p>
      <w:pPr>
        <w:adjustRightInd w:val="0"/>
        <w:spacing w:before="180" w:beforeLines="50" w:beforeAutospacing="0" w:after="180"/>
        <w:jc w:val="both"/>
        <w:rPr>
          <w:rFonts w:eastAsia="宋体"/>
          <w:szCs w:val="20"/>
          <w:lang w:val="en-GB"/>
        </w:rPr>
      </w:pPr>
      <w:r>
        <w:rPr>
          <w:rFonts w:eastAsia="宋体"/>
          <w:szCs w:val="20"/>
        </w:rPr>
        <w:t xml:space="preserve">As stated in the revised WID, two TAs enhancement for asymmetric </w:t>
      </w:r>
      <w:r>
        <w:rPr>
          <w:rFonts w:hint="eastAsia" w:eastAsia="宋体"/>
          <w:szCs w:val="20"/>
        </w:rPr>
        <w:t xml:space="preserve">asymmetric DL sTRP/UL mTRP </w:t>
      </w:r>
      <w:r>
        <w:rPr>
          <w:rFonts w:eastAsia="宋体"/>
          <w:szCs w:val="20"/>
        </w:rPr>
        <w:t xml:space="preserve">deployment </w:t>
      </w:r>
      <w:r>
        <w:rPr>
          <w:rFonts w:hint="eastAsia" w:eastAsia="宋体"/>
          <w:szCs w:val="20"/>
        </w:rPr>
        <w:t>scenario</w:t>
      </w:r>
      <w:r>
        <w:rPr>
          <w:rFonts w:eastAsia="宋体"/>
          <w:szCs w:val="20"/>
        </w:rPr>
        <w:t xml:space="preserve">s is </w:t>
      </w:r>
      <w:r>
        <w:rPr>
          <w:rFonts w:hint="eastAsia" w:eastAsia="宋体"/>
          <w:szCs w:val="20"/>
        </w:rPr>
        <w:t xml:space="preserve">agreed to be </w:t>
      </w:r>
      <w:r>
        <w:rPr>
          <w:rFonts w:eastAsia="宋体"/>
          <w:szCs w:val="20"/>
        </w:rPr>
        <w:t xml:space="preserve">specified by reusing Rel-18 specification of two TAs for MDCI with no restriction that </w:t>
      </w:r>
      <w:r>
        <w:rPr>
          <w:rFonts w:eastAsia="宋体"/>
          <w:i/>
          <w:szCs w:val="20"/>
        </w:rPr>
        <w:t>coresetPoolIndex</w:t>
      </w:r>
      <w:r>
        <w:rPr>
          <w:rFonts w:eastAsia="宋体"/>
          <w:szCs w:val="20"/>
        </w:rPr>
        <w:t xml:space="preserve"> needs to be configured and assuming legacy PRACH resources. Consequently, the following excerpt may be the only part involved in the specification change for specifying two TAs enhancement for asymmetric </w:t>
      </w:r>
      <w:r>
        <w:rPr>
          <w:rFonts w:hint="eastAsia" w:eastAsia="宋体"/>
          <w:szCs w:val="20"/>
        </w:rPr>
        <w:t xml:space="preserve">asymmetric DL sTRP/UL mTRP </w:t>
      </w:r>
      <w:r>
        <w:rPr>
          <w:rFonts w:eastAsia="宋体"/>
          <w:szCs w:val="20"/>
        </w:rPr>
        <w:t xml:space="preserve">deployment </w:t>
      </w:r>
      <w:r>
        <w:rPr>
          <w:rFonts w:hint="eastAsia" w:eastAsia="宋体"/>
          <w:szCs w:val="20"/>
        </w:rPr>
        <w:t>scenario</w:t>
      </w:r>
      <w:r>
        <w:rPr>
          <w:rFonts w:eastAsia="宋体"/>
          <w:szCs w:val="20"/>
        </w:rPr>
        <w:t>s.</w:t>
      </w: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keepNext/>
              <w:keepLines/>
              <w:widowControl w:val="0"/>
              <w:spacing w:before="180" w:beforeAutospacing="0" w:after="120" w:afterLines="0"/>
              <w:outlineLvl w:val="1"/>
              <w:rPr>
                <w:rFonts w:ascii="Arial" w:hAnsi="Arial" w:eastAsia="宋体"/>
                <w:b/>
                <w:bCs/>
                <w:color w:val="000000"/>
                <w:sz w:val="21"/>
                <w:szCs w:val="20"/>
              </w:rPr>
            </w:pPr>
            <w:r>
              <w:rPr>
                <w:rFonts w:ascii="Arial" w:hAnsi="Arial" w:eastAsia="宋体"/>
                <w:b/>
                <w:bCs/>
                <w:color w:val="000000"/>
                <w:sz w:val="21"/>
                <w:szCs w:val="20"/>
              </w:rPr>
              <w:t>6.1</w:t>
            </w:r>
            <w:r>
              <w:rPr>
                <w:rFonts w:ascii="Arial" w:hAnsi="Arial" w:eastAsia="宋体"/>
                <w:b/>
                <w:bCs/>
                <w:color w:val="000000"/>
                <w:sz w:val="21"/>
                <w:szCs w:val="20"/>
              </w:rPr>
              <w:tab/>
            </w:r>
            <w:r>
              <w:rPr>
                <w:rFonts w:ascii="Arial" w:hAnsi="Arial" w:eastAsia="宋体"/>
                <w:b/>
                <w:bCs/>
                <w:color w:val="000000"/>
                <w:sz w:val="21"/>
                <w:szCs w:val="20"/>
              </w:rPr>
              <w:t>UE procedure for transmitting the physical uplink shared channel</w:t>
            </w:r>
          </w:p>
          <w:p>
            <w:pPr>
              <w:spacing w:before="100" w:after="120" w:afterLines="0"/>
              <w:jc w:val="center"/>
              <w:rPr>
                <w:rFonts w:eastAsia="宋体"/>
                <w:color w:val="FF0000"/>
                <w:sz w:val="21"/>
                <w:szCs w:val="20"/>
              </w:rPr>
            </w:pPr>
            <w:r>
              <w:rPr>
                <w:rFonts w:eastAsia="宋体"/>
                <w:color w:val="FF0000"/>
                <w:sz w:val="21"/>
                <w:szCs w:val="20"/>
              </w:rPr>
              <w:t>&lt;Irrelevant parts are omitted&gt;</w:t>
            </w:r>
          </w:p>
          <w:p>
            <w:pPr>
              <w:spacing w:before="100" w:after="120" w:afterLines="0"/>
              <w:rPr>
                <w:rFonts w:eastAsia="宋体"/>
                <w:color w:val="000000"/>
                <w:sz w:val="21"/>
                <w:szCs w:val="20"/>
              </w:rPr>
            </w:pPr>
            <w:r>
              <w:rPr>
                <w:rFonts w:eastAsia="宋体"/>
                <w:color w:val="000000"/>
                <w:sz w:val="21"/>
                <w:szCs w:val="20"/>
              </w:rPr>
              <w:t xml:space="preserve">If a UE is configured by higher layer parameter </w:t>
            </w:r>
            <w:r>
              <w:rPr>
                <w:rFonts w:eastAsia="宋体"/>
                <w:i/>
                <w:color w:val="000000"/>
                <w:sz w:val="21"/>
                <w:szCs w:val="20"/>
              </w:rPr>
              <w:t>PDCCH-Config</w:t>
            </w:r>
            <w:r>
              <w:rPr>
                <w:rFonts w:eastAsia="宋体"/>
                <w:color w:val="000000"/>
                <w:sz w:val="21"/>
                <w:szCs w:val="20"/>
              </w:rPr>
              <w:t xml:space="preserve"> that contains </w:t>
            </w:r>
            <w:r>
              <w:rPr>
                <w:rFonts w:eastAsia="宋体"/>
                <w:i/>
                <w:iCs/>
                <w:color w:val="000000"/>
                <w:sz w:val="21"/>
                <w:szCs w:val="20"/>
              </w:rPr>
              <w:t>ControlResourceSets</w:t>
            </w:r>
            <w:r>
              <w:rPr>
                <w:rFonts w:eastAsia="宋体"/>
                <w:color w:val="000000"/>
                <w:sz w:val="21"/>
                <w:szCs w:val="20"/>
              </w:rPr>
              <w:t xml:space="preserve"> with two different values of </w:t>
            </w:r>
            <w:r>
              <w:rPr>
                <w:rFonts w:eastAsia="宋体"/>
                <w:i/>
                <w:color w:val="000000"/>
                <w:sz w:val="21"/>
                <w:szCs w:val="20"/>
              </w:rPr>
              <w:t>coresetPoolIndex</w:t>
            </w:r>
            <w:r>
              <w:rPr>
                <w:rFonts w:eastAsia="宋体"/>
                <w:color w:val="000000"/>
                <w:sz w:val="21"/>
                <w:szCs w:val="20"/>
              </w:rPr>
              <w:t xml:space="preserve"> for the active BWP of a serving cell, or if a UE is configured with </w:t>
            </w:r>
            <w:r>
              <w:rPr>
                <w:rFonts w:eastAsia="宋体"/>
                <w:i/>
                <w:iCs/>
                <w:color w:val="000000"/>
                <w:sz w:val="21"/>
                <w:szCs w:val="20"/>
              </w:rPr>
              <w:t>SSB-MTC-AddtionalPCI</w:t>
            </w:r>
            <w:r>
              <w:rPr>
                <w:rFonts w:eastAsia="宋体"/>
                <w:color w:val="000000"/>
                <w:sz w:val="21"/>
                <w:szCs w:val="20"/>
              </w:rPr>
              <w:t xml:space="preserve"> and with </w:t>
            </w:r>
            <w:r>
              <w:rPr>
                <w:rFonts w:eastAsia="宋体"/>
                <w:i/>
                <w:iCs/>
                <w:color w:val="000000"/>
                <w:sz w:val="21"/>
                <w:szCs w:val="20"/>
              </w:rPr>
              <w:t>PDCCH-Config</w:t>
            </w:r>
            <w:r>
              <w:rPr>
                <w:rFonts w:eastAsia="宋体"/>
                <w:color w:val="000000"/>
                <w:sz w:val="21"/>
                <w:szCs w:val="20"/>
              </w:rPr>
              <w:t xml:space="preserve"> that contains two different values of </w:t>
            </w:r>
            <w:r>
              <w:rPr>
                <w:rFonts w:eastAsia="宋体"/>
                <w:i/>
                <w:iCs/>
                <w:color w:val="000000"/>
                <w:sz w:val="21"/>
                <w:szCs w:val="20"/>
              </w:rPr>
              <w:t>coresetPoolIndex</w:t>
            </w:r>
            <w:r>
              <w:rPr>
                <w:rFonts w:eastAsia="宋体"/>
                <w:color w:val="000000"/>
                <w:sz w:val="21"/>
                <w:szCs w:val="20"/>
              </w:rPr>
              <w:t xml:space="preserve"> in </w:t>
            </w:r>
            <w:r>
              <w:rPr>
                <w:rFonts w:eastAsia="宋体"/>
                <w:i/>
                <w:iCs/>
                <w:color w:val="000000"/>
                <w:sz w:val="21"/>
                <w:szCs w:val="20"/>
              </w:rPr>
              <w:t>ControlResourceSet</w:t>
            </w:r>
            <w:r>
              <w:rPr>
                <w:rFonts w:eastAsia="宋体"/>
                <w:color w:val="000000"/>
                <w:sz w:val="21"/>
                <w:szCs w:val="20"/>
              </w:rPr>
              <w:t>, and if the UE is configured with [</w:t>
            </w:r>
            <w:r>
              <w:rPr>
                <w:rFonts w:eastAsia="宋体"/>
                <w:i/>
                <w:iCs/>
                <w:color w:val="000000"/>
                <w:sz w:val="21"/>
                <w:szCs w:val="20"/>
              </w:rPr>
              <w:t>twoTAGs</w:t>
            </w:r>
            <w:r>
              <w:rPr>
                <w:rFonts w:eastAsia="宋体"/>
                <w:color w:val="000000"/>
                <w:sz w:val="21"/>
                <w:szCs w:val="20"/>
              </w:rPr>
              <w:t xml:space="preserve">] and is configured with </w:t>
            </w:r>
            <w:r>
              <w:rPr>
                <w:rFonts w:eastAsia="宋体"/>
                <w:i/>
                <w:iCs/>
                <w:color w:val="000000"/>
                <w:sz w:val="21"/>
                <w:szCs w:val="20"/>
              </w:rPr>
              <w:t>dl-OrJointTCI-StateList</w:t>
            </w:r>
            <w:r>
              <w:rPr>
                <w:rFonts w:eastAsia="宋体"/>
                <w:color w:val="000000"/>
                <w:sz w:val="21"/>
                <w:szCs w:val="20"/>
              </w:rPr>
              <w:t xml:space="preserve"> or</w:t>
            </w:r>
            <w:r>
              <w:rPr>
                <w:rFonts w:eastAsia="宋体"/>
                <w:i/>
                <w:iCs/>
                <w:color w:val="000000"/>
                <w:sz w:val="21"/>
                <w:szCs w:val="20"/>
              </w:rPr>
              <w:t xml:space="preserve"> TCI-UL-State </w:t>
            </w:r>
            <w:r>
              <w:rPr>
                <w:rFonts w:eastAsia="宋体"/>
                <w:color w:val="000000"/>
                <w:sz w:val="21"/>
                <w:szCs w:val="20"/>
              </w:rPr>
              <w:t xml:space="preserve">for a serving cell, each </w:t>
            </w:r>
            <w:r>
              <w:rPr>
                <w:rFonts w:eastAsia="宋体"/>
                <w:i/>
                <w:iCs/>
                <w:color w:val="000000"/>
                <w:sz w:val="21"/>
                <w:szCs w:val="20"/>
              </w:rPr>
              <w:t>TCI-State</w:t>
            </w:r>
            <w:r>
              <w:rPr>
                <w:rFonts w:eastAsia="宋体"/>
                <w:color w:val="000000"/>
                <w:sz w:val="21"/>
                <w:szCs w:val="20"/>
              </w:rPr>
              <w:t xml:space="preserve"> or </w:t>
            </w:r>
            <w:r>
              <w:rPr>
                <w:rFonts w:eastAsia="宋体"/>
                <w:i/>
                <w:iCs/>
                <w:color w:val="000000"/>
                <w:sz w:val="21"/>
                <w:szCs w:val="20"/>
              </w:rPr>
              <w:t xml:space="preserve">TCI-UL-State </w:t>
            </w:r>
            <w:r>
              <w:rPr>
                <w:rFonts w:eastAsia="宋体"/>
                <w:color w:val="000000"/>
                <w:sz w:val="21"/>
                <w:szCs w:val="20"/>
              </w:rPr>
              <w:t>is associated with a [</w:t>
            </w:r>
            <w:r>
              <w:rPr>
                <w:rFonts w:eastAsia="宋体"/>
                <w:i/>
                <w:iCs/>
                <w:color w:val="000000"/>
                <w:sz w:val="21"/>
                <w:szCs w:val="20"/>
              </w:rPr>
              <w:t>TAG-ID</w:t>
            </w:r>
            <w:r>
              <w:rPr>
                <w:rFonts w:eastAsia="宋体"/>
                <w:color w:val="000000"/>
                <w:sz w:val="21"/>
                <w:szCs w:val="20"/>
              </w:rPr>
              <w:t>]</w:t>
            </w:r>
            <w:r>
              <w:rPr>
                <w:rFonts w:eastAsia="宋体"/>
                <w:i/>
                <w:iCs/>
                <w:color w:val="000000"/>
                <w:sz w:val="21"/>
                <w:szCs w:val="20"/>
              </w:rPr>
              <w:t xml:space="preserve"> </w:t>
            </w:r>
            <w:r>
              <w:rPr>
                <w:rFonts w:eastAsia="宋体"/>
                <w:color w:val="000000"/>
                <w:sz w:val="21"/>
                <w:szCs w:val="20"/>
              </w:rPr>
              <w:t xml:space="preserve">for determining timing adjustment for a corresponding UL transmission as described in Clause 4.2 of [6, TS 38.213]. The UE does not expect that </w:t>
            </w:r>
            <w:r>
              <w:rPr>
                <w:rFonts w:eastAsia="宋体"/>
                <w:i/>
                <w:iCs/>
                <w:color w:val="000000"/>
                <w:sz w:val="21"/>
                <w:szCs w:val="20"/>
              </w:rPr>
              <w:t>TCI-states</w:t>
            </w:r>
            <w:r>
              <w:rPr>
                <w:rFonts w:eastAsia="宋体"/>
                <w:color w:val="000000"/>
                <w:sz w:val="21"/>
                <w:szCs w:val="20"/>
              </w:rPr>
              <w:t xml:space="preserve"> or </w:t>
            </w:r>
            <w:r>
              <w:rPr>
                <w:rFonts w:eastAsia="宋体"/>
                <w:i/>
                <w:iCs/>
                <w:color w:val="000000"/>
                <w:sz w:val="21"/>
                <w:szCs w:val="20"/>
              </w:rPr>
              <w:t xml:space="preserve">TCI-UL-States </w:t>
            </w:r>
            <w:r>
              <w:rPr>
                <w:rFonts w:eastAsia="宋体"/>
                <w:color w:val="000000"/>
                <w:sz w:val="21"/>
                <w:szCs w:val="20"/>
              </w:rPr>
              <w:t xml:space="preserve">associated with one </w:t>
            </w:r>
            <w:r>
              <w:rPr>
                <w:rFonts w:eastAsia="宋体"/>
                <w:i/>
                <w:color w:val="000000"/>
                <w:sz w:val="21"/>
                <w:szCs w:val="20"/>
              </w:rPr>
              <w:t>coresetPoolIndex</w:t>
            </w:r>
            <w:r>
              <w:rPr>
                <w:rFonts w:eastAsia="宋体"/>
                <w:color w:val="000000"/>
                <w:sz w:val="21"/>
                <w:szCs w:val="20"/>
              </w:rPr>
              <w:t xml:space="preserve"> to correspond to two TAGs.</w:t>
            </w:r>
          </w:p>
          <w:p>
            <w:pPr>
              <w:spacing w:before="100" w:after="120" w:afterLines="0"/>
              <w:jc w:val="center"/>
              <w:rPr>
                <w:rFonts w:eastAsia="宋体"/>
                <w:color w:val="FF0000"/>
                <w:sz w:val="24"/>
              </w:rPr>
            </w:pPr>
            <w:r>
              <w:rPr>
                <w:rFonts w:eastAsia="宋体"/>
                <w:color w:val="FF0000"/>
                <w:sz w:val="21"/>
                <w:szCs w:val="20"/>
              </w:rPr>
              <w:t>&lt;Irrelevant parts are omitted&gt;</w:t>
            </w:r>
          </w:p>
        </w:tc>
      </w:tr>
    </w:tbl>
    <w:p>
      <w:pPr>
        <w:adjustRightInd w:val="0"/>
        <w:spacing w:before="180" w:beforeLines="50" w:beforeAutospacing="0" w:after="0" w:afterLines="0"/>
        <w:jc w:val="both"/>
        <w:rPr>
          <w:rFonts w:eastAsia="宋体"/>
          <w:i/>
          <w:iCs/>
          <w:szCs w:val="20"/>
        </w:rPr>
      </w:pPr>
      <w:r>
        <w:rPr>
          <w:rFonts w:hint="eastAsia" w:eastAsia="宋体"/>
          <w:b/>
          <w:bCs/>
          <w:i/>
          <w:iCs/>
          <w:szCs w:val="20"/>
        </w:rPr>
        <w:t xml:space="preserve">Proposal </w:t>
      </w:r>
      <w:r>
        <w:rPr>
          <w:rFonts w:eastAsia="宋体"/>
          <w:b/>
          <w:bCs/>
          <w:i/>
          <w:iCs/>
          <w:szCs w:val="20"/>
        </w:rPr>
        <w:t>8</w:t>
      </w:r>
      <w:r>
        <w:rPr>
          <w:rFonts w:hint="eastAsia" w:eastAsia="宋体"/>
          <w:b/>
          <w:bCs/>
          <w:i/>
          <w:iCs/>
          <w:szCs w:val="20"/>
        </w:rPr>
        <w:t>:</w:t>
      </w:r>
      <w:r>
        <w:rPr>
          <w:rFonts w:hint="eastAsia" w:eastAsia="宋体"/>
          <w:i/>
          <w:iCs/>
          <w:szCs w:val="20"/>
        </w:rPr>
        <w:t xml:space="preserve"> Support</w:t>
      </w:r>
      <w:r>
        <w:rPr>
          <w:rFonts w:eastAsia="宋体"/>
          <w:i/>
          <w:iCs/>
          <w:szCs w:val="20"/>
        </w:rPr>
        <w:t xml:space="preserve"> two TAs for asymmetric DL sTRP/UL mTRP deployment scenarios</w:t>
      </w:r>
      <w:r>
        <w:rPr>
          <w:rFonts w:hint="eastAsia" w:eastAsia="宋体"/>
          <w:i/>
          <w:iCs/>
          <w:szCs w:val="20"/>
        </w:rPr>
        <w:t>.</w:t>
      </w:r>
    </w:p>
    <w:p>
      <w:pPr>
        <w:pStyle w:val="52"/>
        <w:numPr>
          <w:ilvl w:val="0"/>
          <w:numId w:val="11"/>
        </w:numPr>
        <w:spacing w:before="0" w:beforeLines="0" w:after="0" w:afterLines="0" w:line="240" w:lineRule="auto"/>
        <w:ind w:leftChars="0"/>
        <w:rPr>
          <w:rFonts w:eastAsia="宋体"/>
          <w:i/>
          <w:szCs w:val="20"/>
        </w:rPr>
      </w:pPr>
      <w:r>
        <w:rPr>
          <w:rFonts w:eastAsia="宋体"/>
          <w:i/>
          <w:iCs/>
          <w:szCs w:val="20"/>
        </w:rPr>
        <w:t>Reuse Rel-18 rules of two TAs for multi-DCI based multi-TRP/panel with removing the restriction that coresetPoolIndex needs to be configured and assuming legacy PRACH resources</w:t>
      </w:r>
      <w:r>
        <w:rPr>
          <w:rFonts w:eastAsia="宋体"/>
          <w:i/>
          <w:szCs w:val="20"/>
        </w:rPr>
        <w:t>.</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Conclusion</w:t>
      </w:r>
    </w:p>
    <w:p>
      <w:pPr>
        <w:adjustRightInd w:val="0"/>
        <w:spacing w:before="180" w:beforeLines="50" w:beforeAutospacing="0" w:after="180"/>
        <w:jc w:val="both"/>
        <w:rPr>
          <w:szCs w:val="20"/>
        </w:rPr>
      </w:pPr>
      <w:r>
        <w:rPr>
          <w:szCs w:val="20"/>
        </w:rPr>
        <w:t xml:space="preserve">In this contribution, we present our views </w:t>
      </w:r>
      <w:r>
        <w:rPr>
          <w:rFonts w:hint="eastAsia" w:eastAsia="宋体"/>
          <w:szCs w:val="20"/>
        </w:rPr>
        <w:t xml:space="preserve">of the </w:t>
      </w:r>
      <w:r>
        <w:rPr>
          <w:szCs w:val="20"/>
        </w:rPr>
        <w:t>enhancement</w:t>
      </w:r>
      <w:r>
        <w:rPr>
          <w:rFonts w:hint="eastAsia" w:eastAsia="宋体"/>
          <w:szCs w:val="20"/>
        </w:rPr>
        <w:t>s</w:t>
      </w:r>
      <w:r>
        <w:rPr>
          <w:szCs w:val="20"/>
        </w:rPr>
        <w:t xml:space="preserve"> </w:t>
      </w:r>
      <w:r>
        <w:rPr>
          <w:rFonts w:hint="eastAsia" w:eastAsia="宋体"/>
          <w:szCs w:val="20"/>
        </w:rPr>
        <w:t>for asymmetric DL sTRP/UL</w:t>
      </w:r>
      <w:r>
        <w:rPr>
          <w:szCs w:val="20"/>
        </w:rPr>
        <w:t xml:space="preserve"> </w:t>
      </w:r>
      <w:r>
        <w:rPr>
          <w:rFonts w:hint="eastAsia" w:eastAsia="宋体"/>
          <w:szCs w:val="20"/>
        </w:rPr>
        <w:t>mTRP scenarios with</w:t>
      </w:r>
      <w:r>
        <w:rPr>
          <w:szCs w:val="20"/>
        </w:rPr>
        <w:t xml:space="preserve"> the following </w:t>
      </w:r>
      <w:r>
        <w:rPr>
          <w:rFonts w:hint="eastAsia" w:eastAsia="宋体"/>
          <w:szCs w:val="20"/>
        </w:rPr>
        <w:t xml:space="preserve">observation and </w:t>
      </w:r>
      <w:r>
        <w:rPr>
          <w:szCs w:val="20"/>
        </w:rPr>
        <w:t>proposals</w:t>
      </w:r>
      <w:r>
        <w:rPr>
          <w:rFonts w:hint="eastAsia"/>
          <w:szCs w:val="20"/>
        </w:rPr>
        <w:t>.</w:t>
      </w:r>
    </w:p>
    <w:p>
      <w:pPr>
        <w:spacing w:before="180" w:beforeLines="50" w:after="0" w:afterLines="0"/>
        <w:rPr>
          <w:rFonts w:eastAsia="宋体"/>
          <w:i/>
          <w:iCs/>
          <w:szCs w:val="20"/>
        </w:rPr>
      </w:pPr>
      <w:r>
        <w:rPr>
          <w:rFonts w:eastAsia="宋体"/>
          <w:b/>
          <w:bCs/>
          <w:i/>
          <w:iCs/>
          <w:szCs w:val="20"/>
        </w:rPr>
        <w:t xml:space="preserve">Observation 1: </w:t>
      </w:r>
      <w:r>
        <w:rPr>
          <w:rFonts w:eastAsia="宋体"/>
          <w:i/>
          <w:szCs w:val="20"/>
        </w:rPr>
        <w:t xml:space="preserve">It </w:t>
      </w:r>
      <w:r>
        <w:rPr>
          <w:rFonts w:hint="eastAsia" w:eastAsia="宋体"/>
          <w:i/>
          <w:szCs w:val="20"/>
        </w:rPr>
        <w:t>should be considered as an</w:t>
      </w:r>
      <w:r>
        <w:rPr>
          <w:rFonts w:eastAsia="宋体"/>
          <w:i/>
          <w:szCs w:val="20"/>
        </w:rPr>
        <w:t xml:space="preserve"> error case that SRS resource set is </w:t>
      </w:r>
      <w:r>
        <w:rPr>
          <w:rFonts w:hint="eastAsia" w:eastAsia="宋体"/>
          <w:i/>
          <w:szCs w:val="20"/>
        </w:rPr>
        <w:t xml:space="preserve">NOT </w:t>
      </w:r>
      <w:r>
        <w:rPr>
          <w:rFonts w:eastAsia="宋体"/>
          <w:i/>
          <w:szCs w:val="20"/>
        </w:rPr>
        <w:t>configured with TCI state in terms of power control parameters determination for SRS.</w:t>
      </w:r>
    </w:p>
    <w:p>
      <w:pPr>
        <w:adjustRightInd w:val="0"/>
        <w:spacing w:before="180" w:beforeLines="50" w:beforeAutospacing="0" w:after="0" w:afterLines="0"/>
        <w:jc w:val="both"/>
        <w:rPr>
          <w:rFonts w:eastAsia="宋体"/>
          <w:i/>
          <w:iCs/>
          <w:szCs w:val="20"/>
        </w:rPr>
      </w:pPr>
      <w:r>
        <w:rPr>
          <w:rFonts w:eastAsia="宋体"/>
          <w:b/>
          <w:bCs/>
          <w:i/>
          <w:iCs/>
          <w:szCs w:val="20"/>
        </w:rPr>
        <w:t xml:space="preserve">Proposal 1: </w:t>
      </w:r>
      <w:r>
        <w:rPr>
          <w:rFonts w:eastAsia="等线"/>
          <w:i/>
          <w:szCs w:val="20"/>
          <w:lang w:val="en-GB"/>
        </w:rPr>
        <w:t xml:space="preserve">For indicating whether PL offset in the indicated TCI state is applied when Rel-17 unified TCI for sTRP/ICBM is configured or PL offset corresponding to which one out of two TCI states is applied, consider </w:t>
      </w:r>
      <w:r>
        <w:rPr>
          <w:rFonts w:hint="eastAsia" w:eastAsia="等线"/>
          <w:i/>
          <w:szCs w:val="20"/>
        </w:rPr>
        <w:t xml:space="preserve">to </w:t>
      </w:r>
      <w:r>
        <w:rPr>
          <w:rFonts w:eastAsia="等线"/>
          <w:i/>
          <w:szCs w:val="20"/>
          <w:lang w:val="en-GB"/>
        </w:rPr>
        <w:t>down-select one of the following options:</w:t>
      </w:r>
    </w:p>
    <w:p>
      <w:pPr>
        <w:pStyle w:val="52"/>
        <w:numPr>
          <w:ilvl w:val="0"/>
          <w:numId w:val="11"/>
        </w:numPr>
        <w:spacing w:before="0" w:beforeLines="0" w:after="0" w:afterLines="0" w:line="240" w:lineRule="auto"/>
        <w:ind w:leftChars="0"/>
        <w:rPr>
          <w:rFonts w:ascii="Times New Roman" w:hAnsi="Times New Roman" w:eastAsia="宋体"/>
          <w:i/>
          <w:szCs w:val="20"/>
        </w:rPr>
      </w:pPr>
      <w:r>
        <w:rPr>
          <w:rFonts w:ascii="Times New Roman" w:hAnsi="Times New Roman" w:eastAsia="宋体"/>
          <w:i/>
          <w:iCs/>
          <w:szCs w:val="20"/>
        </w:rPr>
        <w:t>Option 1: Utilize ‘PRACH association indicator’ field in DCI format 1_0</w:t>
      </w:r>
      <w:r>
        <w:rPr>
          <w:rFonts w:ascii="Times New Roman" w:hAnsi="Times New Roman" w:eastAsia="宋体"/>
          <w:i/>
          <w:szCs w:val="20"/>
        </w:rPr>
        <w:t>.</w:t>
      </w:r>
    </w:p>
    <w:p>
      <w:pPr>
        <w:pStyle w:val="52"/>
        <w:numPr>
          <w:ilvl w:val="0"/>
          <w:numId w:val="11"/>
        </w:numPr>
        <w:spacing w:before="0" w:beforeLines="0" w:after="0" w:afterLines="0" w:line="240" w:lineRule="auto"/>
        <w:ind w:leftChars="0"/>
        <w:rPr>
          <w:rFonts w:ascii="Times New Roman" w:hAnsi="Times New Roman" w:eastAsia="宋体"/>
          <w:i/>
          <w:szCs w:val="20"/>
        </w:rPr>
      </w:pPr>
      <w:r>
        <w:rPr>
          <w:rFonts w:ascii="Times New Roman" w:hAnsi="Times New Roman" w:eastAsia="宋体"/>
          <w:i/>
          <w:szCs w:val="20"/>
        </w:rPr>
        <w:t>Option 2: Introduce a new 1-bit indication field in DCI format 1_0.</w:t>
      </w:r>
    </w:p>
    <w:p>
      <w:pPr>
        <w:adjustRightInd w:val="0"/>
        <w:spacing w:before="180" w:beforeLines="50" w:beforeAutospacing="0" w:after="0" w:afterLines="0"/>
        <w:jc w:val="both"/>
        <w:rPr>
          <w:rFonts w:eastAsia="宋体"/>
          <w:i/>
          <w:iCs/>
          <w:szCs w:val="20"/>
        </w:rPr>
      </w:pPr>
      <w:r>
        <w:rPr>
          <w:rFonts w:eastAsia="宋体"/>
          <w:b/>
          <w:bCs/>
          <w:i/>
          <w:iCs/>
          <w:szCs w:val="20"/>
        </w:rPr>
        <w:t xml:space="preserve">Proposal 2: </w:t>
      </w:r>
      <w:r>
        <w:rPr>
          <w:rFonts w:eastAsia="等线"/>
          <w:i/>
          <w:szCs w:val="20"/>
          <w:lang w:val="en-GB"/>
        </w:rPr>
        <w:t xml:space="preserve">Support to apply PL offset on PDCCH-order PRACH towards </w:t>
      </w:r>
      <w:r>
        <w:rPr>
          <w:rFonts w:hint="eastAsia" w:eastAsia="等线"/>
          <w:i/>
          <w:szCs w:val="20"/>
        </w:rPr>
        <w:t xml:space="preserve">to </w:t>
      </w:r>
      <w:r>
        <w:rPr>
          <w:rFonts w:eastAsia="等线"/>
          <w:i/>
          <w:szCs w:val="20"/>
          <w:lang w:val="en-GB"/>
        </w:rPr>
        <w:t>UL TPR(s) in FR2.</w:t>
      </w:r>
    </w:p>
    <w:p>
      <w:pPr>
        <w:pStyle w:val="52"/>
        <w:numPr>
          <w:ilvl w:val="0"/>
          <w:numId w:val="11"/>
        </w:numPr>
        <w:spacing w:before="0" w:beforeLines="0" w:after="0" w:afterLines="0" w:line="240" w:lineRule="auto"/>
        <w:ind w:leftChars="0"/>
        <w:rPr>
          <w:rFonts w:ascii="Times New Roman" w:hAnsi="Times New Roman" w:eastAsia="宋体"/>
          <w:i/>
          <w:szCs w:val="20"/>
        </w:rPr>
      </w:pPr>
      <w:r>
        <w:rPr>
          <w:rFonts w:ascii="Times New Roman" w:hAnsi="Times New Roman" w:eastAsia="宋体"/>
          <w:i/>
          <w:iCs/>
          <w:szCs w:val="20"/>
        </w:rPr>
        <w:t>Reuse the same mechanism</w:t>
      </w:r>
      <w:r>
        <w:rPr>
          <w:rFonts w:hint="eastAsia" w:ascii="Times New Roman" w:hAnsi="Times New Roman" w:eastAsia="宋体"/>
          <w:i/>
          <w:iCs/>
          <w:szCs w:val="20"/>
          <w:lang w:val="en-US"/>
        </w:rPr>
        <w:t>s</w:t>
      </w:r>
      <w:r>
        <w:rPr>
          <w:rFonts w:ascii="Times New Roman" w:hAnsi="Times New Roman" w:eastAsia="宋体"/>
          <w:i/>
          <w:iCs/>
          <w:szCs w:val="20"/>
        </w:rPr>
        <w:t xml:space="preserve"> on PL offset indication for PDCCH-order PRACH towards UL TRP(s) in FR1</w:t>
      </w:r>
      <w:r>
        <w:rPr>
          <w:rFonts w:ascii="Times New Roman" w:hAnsi="Times New Roman" w:eastAsia="宋体"/>
          <w:i/>
          <w:szCs w:val="20"/>
        </w:rPr>
        <w:t>.</w:t>
      </w:r>
    </w:p>
    <w:p>
      <w:pPr>
        <w:adjustRightInd w:val="0"/>
        <w:spacing w:before="180" w:beforeLines="50" w:beforeAutospacing="0" w:after="0" w:afterLines="0"/>
        <w:jc w:val="both"/>
        <w:rPr>
          <w:rFonts w:eastAsia="宋体"/>
          <w:i/>
          <w:iCs/>
          <w:szCs w:val="20"/>
        </w:rPr>
      </w:pPr>
      <w:r>
        <w:rPr>
          <w:rFonts w:eastAsia="宋体"/>
          <w:b/>
          <w:bCs/>
          <w:i/>
          <w:iCs/>
          <w:szCs w:val="20"/>
        </w:rPr>
        <w:t>Proposal 3:</w:t>
      </w:r>
      <w:r>
        <w:rPr>
          <w:rFonts w:eastAsia="宋体"/>
          <w:i/>
          <w:iCs/>
          <w:szCs w:val="20"/>
        </w:rPr>
        <w:t xml:space="preserve"> </w:t>
      </w:r>
      <w:r>
        <w:rPr>
          <w:rFonts w:eastAsia="等线"/>
          <w:i/>
          <w:szCs w:val="20"/>
          <w:lang w:val="en-GB"/>
        </w:rPr>
        <w:t xml:space="preserve">Support </w:t>
      </w:r>
      <w:r>
        <w:rPr>
          <w:rFonts w:eastAsia="等线"/>
          <w:i/>
          <w:szCs w:val="20"/>
        </w:rPr>
        <w:t xml:space="preserve">that </w:t>
      </w:r>
      <w:r>
        <w:rPr>
          <w:rFonts w:eastAsia="宋体"/>
          <w:i/>
          <w:szCs w:val="20"/>
        </w:rPr>
        <w:t>Type 3 PHR can be reported in the serving cell if the UE is configured with two separate SRS CLPC adjustment states</w:t>
      </w:r>
      <w:r>
        <w:rPr>
          <w:rFonts w:eastAsia="宋体"/>
          <w:i/>
          <w:iCs/>
          <w:szCs w:val="20"/>
        </w:rPr>
        <w:t>.</w:t>
      </w:r>
    </w:p>
    <w:p>
      <w:pPr>
        <w:adjustRightInd w:val="0"/>
        <w:spacing w:before="180" w:beforeLines="50" w:beforeAutospacing="0" w:after="0" w:afterLines="0"/>
        <w:jc w:val="both"/>
        <w:rPr>
          <w:rFonts w:eastAsia="宋体"/>
          <w:i/>
          <w:iCs/>
          <w:szCs w:val="20"/>
        </w:rPr>
      </w:pPr>
      <w:r>
        <w:rPr>
          <w:rFonts w:eastAsia="宋体"/>
          <w:b/>
          <w:bCs/>
          <w:i/>
          <w:iCs/>
          <w:szCs w:val="20"/>
        </w:rPr>
        <w:t xml:space="preserve">Proposal 4: </w:t>
      </w:r>
      <w:r>
        <w:rPr>
          <w:rFonts w:eastAsia="等线"/>
          <w:i/>
          <w:szCs w:val="20"/>
          <w:lang w:val="en-GB"/>
        </w:rPr>
        <w:t xml:space="preserve">Support to extend the value range of PL offset </w:t>
      </w:r>
      <w:r>
        <w:rPr>
          <w:rFonts w:hint="eastAsia" w:eastAsia="等线"/>
          <w:i/>
          <w:szCs w:val="20"/>
        </w:rPr>
        <w:t xml:space="preserve">lower </w:t>
      </w:r>
      <w:r>
        <w:rPr>
          <w:rFonts w:eastAsia="等线"/>
          <w:i/>
          <w:szCs w:val="20"/>
          <w:lang w:val="en-GB"/>
        </w:rPr>
        <w:t>to at least one of the following options:</w:t>
      </w:r>
    </w:p>
    <w:p>
      <w:pPr>
        <w:pStyle w:val="52"/>
        <w:numPr>
          <w:ilvl w:val="0"/>
          <w:numId w:val="11"/>
        </w:numPr>
        <w:spacing w:before="0" w:beforeLines="0" w:after="0" w:afterLines="0" w:line="240" w:lineRule="auto"/>
        <w:ind w:leftChars="0"/>
        <w:rPr>
          <w:rFonts w:ascii="Times New Roman" w:hAnsi="Times New Roman" w:eastAsia="宋体"/>
          <w:i/>
          <w:szCs w:val="20"/>
        </w:rPr>
      </w:pPr>
      <w:r>
        <w:rPr>
          <w:rFonts w:ascii="Times New Roman" w:hAnsi="Times New Roman" w:eastAsia="宋体"/>
          <w:i/>
          <w:iCs/>
          <w:szCs w:val="20"/>
        </w:rPr>
        <w:t>Option 1: -60 dB</w:t>
      </w:r>
      <w:r>
        <w:rPr>
          <w:rFonts w:ascii="Times New Roman" w:hAnsi="Times New Roman" w:eastAsia="宋体"/>
          <w:i/>
          <w:szCs w:val="20"/>
        </w:rPr>
        <w:t>.</w:t>
      </w:r>
    </w:p>
    <w:p>
      <w:pPr>
        <w:pStyle w:val="52"/>
        <w:numPr>
          <w:ilvl w:val="0"/>
          <w:numId w:val="11"/>
        </w:numPr>
        <w:spacing w:before="0" w:beforeLines="0" w:after="0" w:afterLines="0" w:line="240" w:lineRule="auto"/>
        <w:ind w:leftChars="0"/>
        <w:rPr>
          <w:rFonts w:ascii="Times New Roman" w:hAnsi="Times New Roman" w:eastAsia="宋体"/>
          <w:i/>
          <w:szCs w:val="20"/>
        </w:rPr>
      </w:pPr>
      <w:r>
        <w:rPr>
          <w:rFonts w:ascii="Times New Roman" w:hAnsi="Times New Roman" w:eastAsia="宋体"/>
          <w:i/>
          <w:szCs w:val="20"/>
        </w:rPr>
        <w:t>Option 2: -12 dB.</w:t>
      </w:r>
    </w:p>
    <w:p>
      <w:pPr>
        <w:adjustRightInd w:val="0"/>
        <w:spacing w:before="180" w:beforeLines="50" w:beforeAutospacing="0" w:after="0" w:afterLines="0"/>
        <w:jc w:val="both"/>
        <w:rPr>
          <w:rFonts w:eastAsia="宋体"/>
          <w:i/>
          <w:iCs/>
          <w:szCs w:val="20"/>
        </w:rPr>
      </w:pPr>
      <w:r>
        <w:rPr>
          <w:rFonts w:eastAsia="宋体"/>
          <w:b/>
          <w:bCs/>
          <w:i/>
          <w:iCs/>
          <w:szCs w:val="20"/>
        </w:rPr>
        <w:t xml:space="preserve">Proposal 5: </w:t>
      </w:r>
      <w:r>
        <w:rPr>
          <w:rFonts w:eastAsia="宋体"/>
          <w:i/>
          <w:szCs w:val="20"/>
        </w:rPr>
        <w:t>For the extend value range 1~X of starting bit of blocks in DCI format 2_3 in Rel-19, support X=44 when two separated SRS CLPC adjustment states are configured in a BWP/CC (Alt2).</w:t>
      </w:r>
    </w:p>
    <w:p>
      <w:pPr>
        <w:adjustRightInd w:val="0"/>
        <w:spacing w:before="180" w:beforeLines="50" w:beforeAutospacing="0" w:after="0" w:afterLines="0"/>
        <w:jc w:val="both"/>
        <w:rPr>
          <w:rFonts w:eastAsia="宋体"/>
          <w:i/>
          <w:szCs w:val="20"/>
        </w:rPr>
      </w:pPr>
      <w:r>
        <w:rPr>
          <w:rFonts w:eastAsia="宋体"/>
          <w:b/>
          <w:bCs/>
          <w:i/>
          <w:iCs/>
          <w:szCs w:val="20"/>
        </w:rPr>
        <w:t>Proposal 6:</w:t>
      </w:r>
      <w:r>
        <w:rPr>
          <w:rFonts w:eastAsia="宋体"/>
          <w:i/>
          <w:iCs/>
          <w:szCs w:val="20"/>
        </w:rPr>
        <w:t xml:space="preserve"> </w:t>
      </w:r>
      <w:r>
        <w:rPr>
          <w:rFonts w:eastAsia="宋体"/>
          <w:i/>
          <w:szCs w:val="20"/>
        </w:rPr>
        <w:t>Support to enhance DCI formats 1_1 and 0_1 to indicate TPC command for SRS when the UE is configured with two separate SRS CLPC adjustment states.</w:t>
      </w:r>
    </w:p>
    <w:p>
      <w:pPr>
        <w:pStyle w:val="52"/>
        <w:numPr>
          <w:ilvl w:val="0"/>
          <w:numId w:val="11"/>
        </w:numPr>
        <w:spacing w:before="0" w:beforeLines="0" w:after="0" w:afterLines="0" w:line="240" w:lineRule="auto"/>
        <w:ind w:leftChars="0"/>
        <w:rPr>
          <w:rFonts w:ascii="Times New Roman" w:hAnsi="Times New Roman" w:eastAsia="宋体"/>
          <w:i/>
          <w:szCs w:val="20"/>
        </w:rPr>
      </w:pPr>
      <w:r>
        <w:rPr>
          <w:rFonts w:ascii="Times New Roman" w:hAnsi="Times New Roman" w:eastAsia="宋体"/>
          <w:i/>
          <w:iCs/>
          <w:szCs w:val="20"/>
        </w:rPr>
        <w:t xml:space="preserve">Introduce </w:t>
      </w:r>
      <w:r>
        <w:rPr>
          <w:rFonts w:hint="eastAsia" w:ascii="Times New Roman" w:hAnsi="Times New Roman" w:eastAsia="宋体"/>
          <w:i/>
          <w:iCs/>
          <w:szCs w:val="20"/>
          <w:lang w:val="en-US"/>
        </w:rPr>
        <w:t xml:space="preserve">a second </w:t>
      </w:r>
      <w:r>
        <w:rPr>
          <w:rFonts w:ascii="Times New Roman" w:hAnsi="Times New Roman" w:eastAsia="宋体"/>
          <w:i/>
          <w:szCs w:val="20"/>
        </w:rPr>
        <w:t xml:space="preserve">2-bit TPC command field and </w:t>
      </w:r>
      <w:r>
        <w:rPr>
          <w:rFonts w:hint="eastAsia" w:ascii="Times New Roman" w:hAnsi="Times New Roman" w:eastAsia="宋体"/>
          <w:i/>
          <w:szCs w:val="20"/>
          <w:lang w:val="en-US"/>
        </w:rPr>
        <w:t xml:space="preserve">a </w:t>
      </w:r>
      <w:r>
        <w:rPr>
          <w:rFonts w:ascii="Times New Roman" w:hAnsi="Times New Roman" w:eastAsia="宋体"/>
          <w:i/>
          <w:szCs w:val="20"/>
        </w:rPr>
        <w:t>1-bit closed-loop indicator field in DCI formats 1_1 and 0_1.</w:t>
      </w:r>
    </w:p>
    <w:p>
      <w:pPr>
        <w:adjustRightInd w:val="0"/>
        <w:spacing w:before="180" w:beforeLines="50" w:beforeAutospacing="0" w:after="0" w:afterLines="0"/>
        <w:jc w:val="both"/>
        <w:rPr>
          <w:rFonts w:eastAsia="宋体"/>
          <w:i/>
          <w:iCs/>
          <w:szCs w:val="20"/>
        </w:rPr>
      </w:pPr>
      <w:r>
        <w:rPr>
          <w:rFonts w:hint="eastAsia" w:eastAsia="宋体"/>
          <w:b/>
          <w:bCs/>
          <w:i/>
          <w:iCs/>
          <w:szCs w:val="20"/>
        </w:rPr>
        <w:t xml:space="preserve">Proposal </w:t>
      </w:r>
      <w:r>
        <w:rPr>
          <w:rFonts w:eastAsia="宋体"/>
          <w:b/>
          <w:bCs/>
          <w:i/>
          <w:iCs/>
          <w:szCs w:val="20"/>
        </w:rPr>
        <w:t>7</w:t>
      </w:r>
      <w:r>
        <w:rPr>
          <w:rFonts w:hint="eastAsia" w:eastAsia="宋体"/>
          <w:b/>
          <w:bCs/>
          <w:i/>
          <w:iCs/>
          <w:szCs w:val="20"/>
        </w:rPr>
        <w:t>:</w:t>
      </w:r>
      <w:r>
        <w:rPr>
          <w:rFonts w:hint="eastAsia" w:eastAsia="宋体"/>
          <w:i/>
          <w:iCs/>
          <w:szCs w:val="20"/>
        </w:rPr>
        <w:t xml:space="preserve"> Support </w:t>
      </w:r>
      <w:r>
        <w:rPr>
          <w:rFonts w:eastAsia="宋体"/>
          <w:i/>
          <w:iCs/>
          <w:szCs w:val="20"/>
        </w:rPr>
        <w:t>that one out of two separate CLPC adjustment states for SRS can be configured to one SRS resource set (Alt1)</w:t>
      </w:r>
      <w:r>
        <w:rPr>
          <w:rFonts w:hint="eastAsia" w:eastAsia="宋体"/>
          <w:i/>
          <w:iCs/>
          <w:szCs w:val="20"/>
        </w:rPr>
        <w:t>.</w:t>
      </w:r>
    </w:p>
    <w:p>
      <w:pPr>
        <w:pStyle w:val="52"/>
        <w:numPr>
          <w:ilvl w:val="0"/>
          <w:numId w:val="11"/>
        </w:numPr>
        <w:spacing w:before="0" w:beforeLines="0" w:after="0" w:afterLines="0" w:line="240" w:lineRule="auto"/>
        <w:ind w:leftChars="0"/>
        <w:rPr>
          <w:rFonts w:eastAsia="宋体"/>
          <w:i/>
          <w:szCs w:val="20"/>
        </w:rPr>
      </w:pPr>
      <w:r>
        <w:rPr>
          <w:rFonts w:eastAsia="宋体"/>
          <w:i/>
          <w:iCs/>
          <w:szCs w:val="20"/>
        </w:rPr>
        <w:t xml:space="preserve">In this way, </w:t>
      </w:r>
      <w:r>
        <w:rPr>
          <w:rFonts w:eastAsia="等线" w:cs="Batang"/>
          <w:i/>
          <w:szCs w:val="20"/>
          <w:lang w:eastAsia="en-US"/>
        </w:rPr>
        <w:t>closedLoopIndex-r17 for SRS in the TCI state is not to be used to indicate the SRS CLPC adjustment state</w:t>
      </w:r>
      <w:r>
        <w:rPr>
          <w:rFonts w:eastAsia="宋体"/>
          <w:i/>
          <w:szCs w:val="20"/>
        </w:rPr>
        <w:t>.</w:t>
      </w:r>
    </w:p>
    <w:p>
      <w:pPr>
        <w:adjustRightInd w:val="0"/>
        <w:spacing w:before="180" w:beforeLines="50" w:beforeAutospacing="0" w:after="0" w:afterLines="0"/>
        <w:jc w:val="both"/>
        <w:rPr>
          <w:rFonts w:eastAsia="宋体"/>
          <w:i/>
          <w:iCs/>
          <w:szCs w:val="20"/>
        </w:rPr>
      </w:pPr>
      <w:r>
        <w:rPr>
          <w:rFonts w:hint="eastAsia" w:eastAsia="宋体"/>
          <w:b/>
          <w:bCs/>
          <w:i/>
          <w:iCs/>
          <w:szCs w:val="20"/>
        </w:rPr>
        <w:t xml:space="preserve">Proposal </w:t>
      </w:r>
      <w:r>
        <w:rPr>
          <w:rFonts w:eastAsia="宋体"/>
          <w:b/>
          <w:bCs/>
          <w:i/>
          <w:iCs/>
          <w:szCs w:val="20"/>
        </w:rPr>
        <w:t>8</w:t>
      </w:r>
      <w:r>
        <w:rPr>
          <w:rFonts w:hint="eastAsia" w:eastAsia="宋体"/>
          <w:b/>
          <w:bCs/>
          <w:i/>
          <w:iCs/>
          <w:szCs w:val="20"/>
        </w:rPr>
        <w:t>:</w:t>
      </w:r>
      <w:r>
        <w:rPr>
          <w:rFonts w:hint="eastAsia" w:eastAsia="宋体"/>
          <w:i/>
          <w:iCs/>
          <w:szCs w:val="20"/>
        </w:rPr>
        <w:t xml:space="preserve"> Support</w:t>
      </w:r>
      <w:r>
        <w:rPr>
          <w:rFonts w:eastAsia="宋体"/>
          <w:i/>
          <w:iCs/>
          <w:szCs w:val="20"/>
        </w:rPr>
        <w:t xml:space="preserve"> two TAs for asymmetric DL sTRP/UL mTRP deployment scenarios</w:t>
      </w:r>
      <w:r>
        <w:rPr>
          <w:rFonts w:hint="eastAsia" w:eastAsia="宋体"/>
          <w:i/>
          <w:iCs/>
          <w:szCs w:val="20"/>
        </w:rPr>
        <w:t>.</w:t>
      </w:r>
    </w:p>
    <w:p>
      <w:pPr>
        <w:pStyle w:val="52"/>
        <w:numPr>
          <w:ilvl w:val="0"/>
          <w:numId w:val="11"/>
        </w:numPr>
        <w:spacing w:before="0" w:beforeLines="0" w:after="0" w:afterLines="0" w:line="240" w:lineRule="auto"/>
        <w:ind w:leftChars="0"/>
        <w:rPr>
          <w:rFonts w:eastAsia="宋体"/>
          <w:i/>
          <w:szCs w:val="20"/>
        </w:rPr>
      </w:pPr>
      <w:r>
        <w:rPr>
          <w:rFonts w:eastAsia="宋体"/>
          <w:i/>
          <w:iCs/>
          <w:szCs w:val="20"/>
        </w:rPr>
        <w:t>Reuse Rel-18 rules of two TAs for multi-DCI based multi-TRP/panel with removing the restriction that coresetPoolIndex needs to be configured and assuming legacy PRACH resources</w:t>
      </w:r>
      <w:r>
        <w:rPr>
          <w:rFonts w:eastAsia="宋体"/>
          <w:i/>
          <w:szCs w:val="20"/>
        </w:rPr>
        <w:t>.</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References</w:t>
      </w:r>
      <w:bookmarkStart w:id="1" w:name="_Ref446507216"/>
      <w:bookmarkEnd w:id="1"/>
      <w:bookmarkStart w:id="2" w:name="_Ref446511358"/>
      <w:bookmarkEnd w:id="2"/>
      <w:bookmarkStart w:id="3" w:name="_Ref446506608"/>
      <w:bookmarkEnd w:id="3"/>
    </w:p>
    <w:p>
      <w:pPr>
        <w:pStyle w:val="120"/>
        <w:spacing w:before="0" w:beforeLines="0" w:after="0" w:afterLines="0"/>
        <w:ind w:left="363" w:hanging="363"/>
        <w:rPr>
          <w:bCs/>
          <w:szCs w:val="20"/>
        </w:rPr>
      </w:pPr>
      <w:r>
        <w:rPr>
          <w:bCs/>
          <w:szCs w:val="20"/>
        </w:rPr>
        <w:t>RP-2</w:t>
      </w:r>
      <w:r>
        <w:rPr>
          <w:rFonts w:hint="eastAsia"/>
          <w:bCs/>
          <w:szCs w:val="20"/>
        </w:rPr>
        <w:t>42394</w:t>
      </w:r>
      <w:r>
        <w:rPr>
          <w:bCs/>
          <w:szCs w:val="20"/>
        </w:rPr>
        <w:t>, WID</w:t>
      </w:r>
      <w:r>
        <w:rPr>
          <w:rFonts w:hint="eastAsia"/>
          <w:bCs/>
          <w:szCs w:val="20"/>
        </w:rPr>
        <w:t xml:space="preserve"> revision</w:t>
      </w:r>
      <w:r>
        <w:rPr>
          <w:bCs/>
          <w:szCs w:val="20"/>
        </w:rPr>
        <w:t xml:space="preserve">: </w:t>
      </w:r>
      <w:r>
        <w:rPr>
          <w:rFonts w:hint="eastAsia"/>
          <w:bCs/>
          <w:szCs w:val="20"/>
        </w:rPr>
        <w:t>NR MIMO Phase 5</w:t>
      </w:r>
      <w:r>
        <w:rPr>
          <w:bCs/>
          <w:szCs w:val="20"/>
        </w:rPr>
        <w:t>, Moderator</w:t>
      </w:r>
      <w:r>
        <w:rPr>
          <w:rFonts w:hint="eastAsia"/>
          <w:bCs/>
          <w:szCs w:val="20"/>
        </w:rPr>
        <w:t xml:space="preserve"> (</w:t>
      </w:r>
      <w:r>
        <w:rPr>
          <w:bCs/>
          <w:szCs w:val="20"/>
        </w:rPr>
        <w:t>Samsung</w:t>
      </w:r>
      <w:r>
        <w:rPr>
          <w:rFonts w:hint="eastAsia"/>
          <w:bCs/>
          <w:szCs w:val="20"/>
        </w:rPr>
        <w:t>)</w:t>
      </w:r>
    </w:p>
    <w:p>
      <w:pPr>
        <w:pStyle w:val="120"/>
        <w:spacing w:before="0" w:beforeLines="0" w:after="0" w:afterLines="0"/>
        <w:ind w:left="363" w:hanging="363"/>
        <w:rPr>
          <w:bCs/>
          <w:szCs w:val="20"/>
        </w:rPr>
      </w:pPr>
      <w:bookmarkStart w:id="4" w:name="OLE_LINK2"/>
      <w:bookmarkStart w:id="5" w:name="OLE_LINK1"/>
      <w:r>
        <w:rPr>
          <w:bCs/>
          <w:szCs w:val="20"/>
        </w:rPr>
        <w:t>Chair's Notes RAN1#118</w:t>
      </w:r>
      <w:r>
        <w:rPr>
          <w:rFonts w:hint="eastAsia"/>
          <w:bCs/>
          <w:szCs w:val="20"/>
        </w:rPr>
        <w:t>,</w:t>
      </w:r>
      <w:r>
        <w:rPr>
          <w:bCs/>
          <w:szCs w:val="20"/>
        </w:rPr>
        <w:t xml:space="preserve"> </w:t>
      </w:r>
      <w:r>
        <w:rPr>
          <w:rFonts w:hint="eastAsia"/>
          <w:bCs/>
          <w:szCs w:val="20"/>
        </w:rPr>
        <w:t xml:space="preserve">August </w:t>
      </w:r>
      <w:r>
        <w:rPr>
          <w:bCs/>
          <w:szCs w:val="20"/>
        </w:rPr>
        <w:t>19th-</w:t>
      </w:r>
      <w:r>
        <w:rPr>
          <w:rFonts w:hint="eastAsia"/>
          <w:bCs/>
          <w:szCs w:val="20"/>
        </w:rPr>
        <w:t xml:space="preserve"> </w:t>
      </w:r>
      <w:r>
        <w:rPr>
          <w:bCs/>
          <w:szCs w:val="20"/>
        </w:rPr>
        <w:t>23rd, 2024, 3GPP RAN1</w:t>
      </w:r>
    </w:p>
    <w:p>
      <w:pPr>
        <w:pStyle w:val="120"/>
        <w:spacing w:before="0" w:beforeLines="0" w:after="0" w:afterLines="0"/>
        <w:ind w:left="363" w:hanging="363"/>
        <w:rPr>
          <w:bCs/>
          <w:szCs w:val="20"/>
        </w:rPr>
      </w:pPr>
      <w:r>
        <w:rPr>
          <w:bCs/>
          <w:szCs w:val="20"/>
        </w:rPr>
        <w:t>R1-2</w:t>
      </w:r>
      <w:r>
        <w:rPr>
          <w:rFonts w:hint="eastAsia"/>
          <w:bCs/>
          <w:szCs w:val="20"/>
        </w:rPr>
        <w:t>4</w:t>
      </w:r>
      <w:r>
        <w:rPr>
          <w:bCs/>
          <w:szCs w:val="20"/>
        </w:rPr>
        <w:t>06031, Discussion on enhancements for asymmetric DL sTRP/UL mTRP scenarios, ZTE Corporation, Sanechips, China Telecom</w:t>
      </w:r>
    </w:p>
    <w:p>
      <w:pPr>
        <w:pStyle w:val="120"/>
        <w:spacing w:before="0" w:beforeLines="0" w:after="0" w:afterLines="0"/>
        <w:ind w:left="363" w:hanging="363"/>
        <w:rPr>
          <w:bCs/>
          <w:szCs w:val="20"/>
        </w:rPr>
      </w:pPr>
      <w:r>
        <w:rPr>
          <w:bCs/>
          <w:szCs w:val="20"/>
        </w:rPr>
        <w:t>Chair's Notes RAN1#117</w:t>
      </w:r>
      <w:r>
        <w:rPr>
          <w:rFonts w:hint="eastAsia"/>
          <w:bCs/>
          <w:szCs w:val="20"/>
        </w:rPr>
        <w:t>,</w:t>
      </w:r>
      <w:r>
        <w:rPr>
          <w:bCs/>
          <w:szCs w:val="20"/>
        </w:rPr>
        <w:t xml:space="preserve"> May</w:t>
      </w:r>
      <w:r>
        <w:rPr>
          <w:rFonts w:hint="eastAsia"/>
          <w:bCs/>
          <w:szCs w:val="20"/>
        </w:rPr>
        <w:t xml:space="preserve"> </w:t>
      </w:r>
      <w:r>
        <w:rPr>
          <w:bCs/>
          <w:szCs w:val="20"/>
        </w:rPr>
        <w:t>20th-</w:t>
      </w:r>
      <w:r>
        <w:rPr>
          <w:rFonts w:hint="eastAsia"/>
          <w:bCs/>
          <w:szCs w:val="20"/>
        </w:rPr>
        <w:t xml:space="preserve"> </w:t>
      </w:r>
      <w:r>
        <w:rPr>
          <w:bCs/>
          <w:szCs w:val="20"/>
        </w:rPr>
        <w:t>24th, 2024, 3GPP RAN1</w:t>
      </w:r>
    </w:p>
    <w:p>
      <w:pPr>
        <w:pStyle w:val="120"/>
        <w:spacing w:before="0" w:beforeLines="0" w:after="0" w:afterLines="0"/>
        <w:ind w:left="363" w:hanging="363"/>
        <w:rPr>
          <w:bCs/>
          <w:szCs w:val="20"/>
        </w:rPr>
      </w:pPr>
      <w:r>
        <w:rPr>
          <w:bCs/>
          <w:szCs w:val="20"/>
        </w:rPr>
        <w:t>Chair's Notes RAN1#116-bis</w:t>
      </w:r>
      <w:r>
        <w:rPr>
          <w:rFonts w:hint="eastAsia"/>
          <w:bCs/>
          <w:szCs w:val="20"/>
        </w:rPr>
        <w:t>,</w:t>
      </w:r>
      <w:r>
        <w:rPr>
          <w:bCs/>
          <w:szCs w:val="20"/>
        </w:rPr>
        <w:t xml:space="preserve"> April</w:t>
      </w:r>
      <w:r>
        <w:rPr>
          <w:rFonts w:hint="eastAsia"/>
          <w:bCs/>
          <w:szCs w:val="20"/>
        </w:rPr>
        <w:t xml:space="preserve"> </w:t>
      </w:r>
      <w:r>
        <w:rPr>
          <w:bCs/>
          <w:szCs w:val="20"/>
        </w:rPr>
        <w:t>15th-</w:t>
      </w:r>
      <w:r>
        <w:rPr>
          <w:rFonts w:hint="eastAsia"/>
          <w:bCs/>
          <w:szCs w:val="20"/>
        </w:rPr>
        <w:t xml:space="preserve"> </w:t>
      </w:r>
      <w:r>
        <w:rPr>
          <w:bCs/>
          <w:szCs w:val="20"/>
        </w:rPr>
        <w:t>19th, 2024, 3GPP RAN1</w:t>
      </w:r>
      <w:bookmarkEnd w:id="4"/>
      <w:bookmarkEnd w:id="5"/>
    </w:p>
    <w:sectPr>
      <w:headerReference r:id="rId6" w:type="first"/>
      <w:footerReference r:id="rId9" w:type="first"/>
      <w:headerReference r:id="rId4" w:type="default"/>
      <w:footerReference r:id="rId7" w:type="default"/>
      <w:headerReference r:id="rId5" w:type="even"/>
      <w:footerReference r:id="rId8"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Aptos">
    <w:altName w:val="Segoe Print"/>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F129B"/>
    <w:multiLevelType w:val="multilevel"/>
    <w:tmpl w:val="83EF129B"/>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C9355433"/>
    <w:multiLevelType w:val="multilevel"/>
    <w:tmpl w:val="C9355433"/>
    <w:lvl w:ilvl="0" w:tentative="0">
      <w:start w:val="5"/>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DAA9413D"/>
    <w:multiLevelType w:val="singleLevel"/>
    <w:tmpl w:val="DAA9413D"/>
    <w:lvl w:ilvl="0" w:tentative="0">
      <w:start w:val="1"/>
      <w:numFmt w:val="bullet"/>
      <w:lvlText w:val=""/>
      <w:lvlJc w:val="left"/>
      <w:pPr>
        <w:tabs>
          <w:tab w:val="left" w:pos="420"/>
        </w:tabs>
        <w:ind w:left="840" w:hanging="420"/>
      </w:pPr>
      <w:rPr>
        <w:rFonts w:hint="default" w:ascii="Wingdings" w:hAnsi="Wingdings"/>
      </w:rPr>
    </w:lvl>
  </w:abstractNum>
  <w:abstractNum w:abstractNumId="4">
    <w:nsid w:val="FFFFFF7E"/>
    <w:multiLevelType w:val="singleLevel"/>
    <w:tmpl w:val="FFFFFF7E"/>
    <w:lvl w:ilvl="0" w:tentative="0">
      <w:start w:val="1"/>
      <w:numFmt w:val="decimal"/>
      <w:pStyle w:val="18"/>
      <w:lvlText w:val="%1."/>
      <w:lvlJc w:val="left"/>
      <w:pPr>
        <w:tabs>
          <w:tab w:val="left" w:pos="926"/>
        </w:tabs>
        <w:ind w:left="926" w:hanging="360"/>
      </w:pPr>
    </w:lvl>
  </w:abstractNum>
  <w:abstractNum w:abstractNumId="5">
    <w:nsid w:val="060D3FFB"/>
    <w:multiLevelType w:val="multilevel"/>
    <w:tmpl w:val="060D3FFB"/>
    <w:lvl w:ilvl="0" w:tentative="0">
      <w:start w:val="1"/>
      <w:numFmt w:val="bullet"/>
      <w:pStyle w:val="8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E63A54"/>
    <w:multiLevelType w:val="multilevel"/>
    <w:tmpl w:val="07E63A54"/>
    <w:lvl w:ilvl="0" w:tentative="0">
      <w:start w:val="2"/>
      <w:numFmt w:val="bullet"/>
      <w:lvlText w:val="-"/>
      <w:lvlJc w:val="left"/>
      <w:pPr>
        <w:ind w:left="360" w:hanging="360"/>
      </w:pPr>
      <w:rPr>
        <w:rFonts w:hint="default" w:ascii="Times New Roman" w:hAnsi="Times New Roman"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8">
    <w:nsid w:val="3A877D64"/>
    <w:multiLevelType w:val="singleLevel"/>
    <w:tmpl w:val="3A877D64"/>
    <w:lvl w:ilvl="0" w:tentative="0">
      <w:start w:val="1"/>
      <w:numFmt w:val="decimal"/>
      <w:pStyle w:val="120"/>
      <w:lvlText w:val="[%1]"/>
      <w:lvlJc w:val="left"/>
      <w:pPr>
        <w:tabs>
          <w:tab w:val="left" w:pos="360"/>
        </w:tabs>
        <w:ind w:left="360" w:hanging="360"/>
      </w:pPr>
    </w:lvl>
  </w:abstractNum>
  <w:abstractNum w:abstractNumId="9">
    <w:nsid w:val="415237D3"/>
    <w:multiLevelType w:val="multilevel"/>
    <w:tmpl w:val="415237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3305813"/>
    <w:multiLevelType w:val="multilevel"/>
    <w:tmpl w:val="433058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DAB4BB5"/>
    <w:multiLevelType w:val="multilevel"/>
    <w:tmpl w:val="4DAB4B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E7F165A"/>
    <w:multiLevelType w:val="multilevel"/>
    <w:tmpl w:val="4E7F16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A133436"/>
    <w:multiLevelType w:val="multilevel"/>
    <w:tmpl w:val="6A1334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89A0D9C"/>
    <w:multiLevelType w:val="multilevel"/>
    <w:tmpl w:val="789A0D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1"/>
  </w:num>
  <w:num w:numId="3">
    <w:abstractNumId w:val="4"/>
  </w:num>
  <w:num w:numId="4">
    <w:abstractNumId w:val="5"/>
  </w:num>
  <w:num w:numId="5">
    <w:abstractNumId w:val="8"/>
  </w:num>
  <w:num w:numId="6">
    <w:abstractNumId w:val="2"/>
  </w:num>
  <w:num w:numId="7">
    <w:abstractNumId w:val="9"/>
  </w:num>
  <w:num w:numId="8">
    <w:abstractNumId w:val="14"/>
  </w:num>
  <w:num w:numId="9">
    <w:abstractNumId w:val="10"/>
  </w:num>
  <w:num w:numId="10">
    <w:abstractNumId w:val="6"/>
  </w:num>
  <w:num w:numId="11">
    <w:abstractNumId w:val="0"/>
  </w:num>
  <w:num w:numId="12">
    <w:abstractNumId w:val="12"/>
  </w:num>
  <w:num w:numId="13">
    <w:abstractNumId w:val="13"/>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HorizontalSpacing w:val="110"/>
  <w:characterSpacingControl w:val="doNotCompress"/>
  <w:footnotePr>
    <w:footnote w:id="0"/>
    <w:footnote w:id="1"/>
  </w:foot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AE2"/>
    <w:rsid w:val="00002C2A"/>
    <w:rsid w:val="00002C89"/>
    <w:rsid w:val="00003197"/>
    <w:rsid w:val="00003238"/>
    <w:rsid w:val="0000323C"/>
    <w:rsid w:val="000034B7"/>
    <w:rsid w:val="0000385F"/>
    <w:rsid w:val="00003933"/>
    <w:rsid w:val="000039EF"/>
    <w:rsid w:val="00003B1A"/>
    <w:rsid w:val="00003BF1"/>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14B6"/>
    <w:rsid w:val="000117D6"/>
    <w:rsid w:val="000117E8"/>
    <w:rsid w:val="00011871"/>
    <w:rsid w:val="00011968"/>
    <w:rsid w:val="00011A09"/>
    <w:rsid w:val="00011AE1"/>
    <w:rsid w:val="00011B88"/>
    <w:rsid w:val="00012311"/>
    <w:rsid w:val="000124D2"/>
    <w:rsid w:val="000126FC"/>
    <w:rsid w:val="00012B5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78F"/>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AF"/>
    <w:rsid w:val="000213E7"/>
    <w:rsid w:val="00021825"/>
    <w:rsid w:val="000218FA"/>
    <w:rsid w:val="00021DB5"/>
    <w:rsid w:val="00021E00"/>
    <w:rsid w:val="000221D5"/>
    <w:rsid w:val="000222E3"/>
    <w:rsid w:val="000225C7"/>
    <w:rsid w:val="00022C10"/>
    <w:rsid w:val="00022E7C"/>
    <w:rsid w:val="00023019"/>
    <w:rsid w:val="000230B7"/>
    <w:rsid w:val="0002336F"/>
    <w:rsid w:val="00023399"/>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342"/>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B0"/>
    <w:rsid w:val="000323AD"/>
    <w:rsid w:val="000325A9"/>
    <w:rsid w:val="00032741"/>
    <w:rsid w:val="00032C97"/>
    <w:rsid w:val="000331E5"/>
    <w:rsid w:val="000332EA"/>
    <w:rsid w:val="00033454"/>
    <w:rsid w:val="000335D4"/>
    <w:rsid w:val="00033649"/>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C8E"/>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0F7E"/>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7E7"/>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87"/>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38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068"/>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35E"/>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17"/>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E86"/>
    <w:rsid w:val="00080EE0"/>
    <w:rsid w:val="00080F6B"/>
    <w:rsid w:val="00081335"/>
    <w:rsid w:val="00081434"/>
    <w:rsid w:val="00081747"/>
    <w:rsid w:val="00081867"/>
    <w:rsid w:val="000818BD"/>
    <w:rsid w:val="00081ADF"/>
    <w:rsid w:val="00081CD1"/>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1DF"/>
    <w:rsid w:val="000924E7"/>
    <w:rsid w:val="00092581"/>
    <w:rsid w:val="000926F4"/>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7BF"/>
    <w:rsid w:val="00097A1D"/>
    <w:rsid w:val="000A0121"/>
    <w:rsid w:val="000A0279"/>
    <w:rsid w:val="000A0365"/>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070"/>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CFE"/>
    <w:rsid w:val="000A7FC3"/>
    <w:rsid w:val="000A7FCE"/>
    <w:rsid w:val="000B01BE"/>
    <w:rsid w:val="000B0608"/>
    <w:rsid w:val="000B093B"/>
    <w:rsid w:val="000B0953"/>
    <w:rsid w:val="000B0C9A"/>
    <w:rsid w:val="000B10D9"/>
    <w:rsid w:val="000B1203"/>
    <w:rsid w:val="000B18E5"/>
    <w:rsid w:val="000B1BC4"/>
    <w:rsid w:val="000B1CF8"/>
    <w:rsid w:val="000B1E72"/>
    <w:rsid w:val="000B2006"/>
    <w:rsid w:val="000B207B"/>
    <w:rsid w:val="000B23CE"/>
    <w:rsid w:val="000B2841"/>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0E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44E"/>
    <w:rsid w:val="000C75EC"/>
    <w:rsid w:val="000C78F5"/>
    <w:rsid w:val="000C7A0C"/>
    <w:rsid w:val="000C7AE4"/>
    <w:rsid w:val="000C7DB0"/>
    <w:rsid w:val="000C7E35"/>
    <w:rsid w:val="000C7EFC"/>
    <w:rsid w:val="000D0C2E"/>
    <w:rsid w:val="000D11A2"/>
    <w:rsid w:val="000D121B"/>
    <w:rsid w:val="000D12C5"/>
    <w:rsid w:val="000D1629"/>
    <w:rsid w:val="000D1708"/>
    <w:rsid w:val="000D17D6"/>
    <w:rsid w:val="000D1947"/>
    <w:rsid w:val="000D1A6F"/>
    <w:rsid w:val="000D1B9D"/>
    <w:rsid w:val="000D1C94"/>
    <w:rsid w:val="000D211B"/>
    <w:rsid w:val="000D2943"/>
    <w:rsid w:val="000D2999"/>
    <w:rsid w:val="000D2B18"/>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4DA"/>
    <w:rsid w:val="000E1B71"/>
    <w:rsid w:val="000E1D9E"/>
    <w:rsid w:val="000E1E9A"/>
    <w:rsid w:val="000E1EB7"/>
    <w:rsid w:val="000E20C5"/>
    <w:rsid w:val="000E20DC"/>
    <w:rsid w:val="000E228D"/>
    <w:rsid w:val="000E2524"/>
    <w:rsid w:val="000E290F"/>
    <w:rsid w:val="000E29FF"/>
    <w:rsid w:val="000E2CD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7DC"/>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450"/>
    <w:rsid w:val="000E77FC"/>
    <w:rsid w:val="000E79B3"/>
    <w:rsid w:val="000E7BF3"/>
    <w:rsid w:val="000E7C6C"/>
    <w:rsid w:val="000F0166"/>
    <w:rsid w:val="000F0169"/>
    <w:rsid w:val="000F0705"/>
    <w:rsid w:val="000F09A8"/>
    <w:rsid w:val="000F0A65"/>
    <w:rsid w:val="000F0AC6"/>
    <w:rsid w:val="000F0BFC"/>
    <w:rsid w:val="000F0C10"/>
    <w:rsid w:val="000F0DAF"/>
    <w:rsid w:val="000F12E2"/>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034"/>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7B5"/>
    <w:rsid w:val="00107A48"/>
    <w:rsid w:val="00107ABA"/>
    <w:rsid w:val="00107BCF"/>
    <w:rsid w:val="00107BE0"/>
    <w:rsid w:val="00107DE3"/>
    <w:rsid w:val="00110087"/>
    <w:rsid w:val="00110103"/>
    <w:rsid w:val="0011025B"/>
    <w:rsid w:val="001102E6"/>
    <w:rsid w:val="00110925"/>
    <w:rsid w:val="00110E7D"/>
    <w:rsid w:val="0011123E"/>
    <w:rsid w:val="00111251"/>
    <w:rsid w:val="0011189E"/>
    <w:rsid w:val="00111A07"/>
    <w:rsid w:val="00111CE9"/>
    <w:rsid w:val="00111F32"/>
    <w:rsid w:val="001121E8"/>
    <w:rsid w:val="00112302"/>
    <w:rsid w:val="0011249E"/>
    <w:rsid w:val="001124F9"/>
    <w:rsid w:val="00112685"/>
    <w:rsid w:val="0011277E"/>
    <w:rsid w:val="00113305"/>
    <w:rsid w:val="00113B80"/>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326"/>
    <w:rsid w:val="00135588"/>
    <w:rsid w:val="00135612"/>
    <w:rsid w:val="001357BA"/>
    <w:rsid w:val="00135843"/>
    <w:rsid w:val="00135A0D"/>
    <w:rsid w:val="00135F0E"/>
    <w:rsid w:val="00135F8E"/>
    <w:rsid w:val="00135FD8"/>
    <w:rsid w:val="0013614D"/>
    <w:rsid w:val="001361A8"/>
    <w:rsid w:val="00136342"/>
    <w:rsid w:val="00136AB0"/>
    <w:rsid w:val="00136FA8"/>
    <w:rsid w:val="0013709F"/>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2C1C"/>
    <w:rsid w:val="00143003"/>
    <w:rsid w:val="00143421"/>
    <w:rsid w:val="001438EF"/>
    <w:rsid w:val="0014396C"/>
    <w:rsid w:val="00143BF0"/>
    <w:rsid w:val="00143EDB"/>
    <w:rsid w:val="00143F3F"/>
    <w:rsid w:val="00144384"/>
    <w:rsid w:val="00144606"/>
    <w:rsid w:val="00144662"/>
    <w:rsid w:val="00144E5F"/>
    <w:rsid w:val="00144FB2"/>
    <w:rsid w:val="00145449"/>
    <w:rsid w:val="001455AD"/>
    <w:rsid w:val="0014596A"/>
    <w:rsid w:val="00145A0C"/>
    <w:rsid w:val="00145A5F"/>
    <w:rsid w:val="00145D1E"/>
    <w:rsid w:val="00145D53"/>
    <w:rsid w:val="00145EF6"/>
    <w:rsid w:val="001464E6"/>
    <w:rsid w:val="001464F0"/>
    <w:rsid w:val="001468E8"/>
    <w:rsid w:val="00146A3E"/>
    <w:rsid w:val="00146DBA"/>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699"/>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D0F"/>
    <w:rsid w:val="00160036"/>
    <w:rsid w:val="001602BF"/>
    <w:rsid w:val="0016043D"/>
    <w:rsid w:val="00160639"/>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4A7F"/>
    <w:rsid w:val="0017527A"/>
    <w:rsid w:val="001752E2"/>
    <w:rsid w:val="0017554E"/>
    <w:rsid w:val="001755E3"/>
    <w:rsid w:val="001758FE"/>
    <w:rsid w:val="00175977"/>
    <w:rsid w:val="00175B8D"/>
    <w:rsid w:val="00175CF2"/>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2EC5"/>
    <w:rsid w:val="00183098"/>
    <w:rsid w:val="001831A6"/>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C2"/>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3AF"/>
    <w:rsid w:val="0019764F"/>
    <w:rsid w:val="00197C4B"/>
    <w:rsid w:val="00197CBE"/>
    <w:rsid w:val="00197E43"/>
    <w:rsid w:val="00197FF8"/>
    <w:rsid w:val="001A0173"/>
    <w:rsid w:val="001A0301"/>
    <w:rsid w:val="001A03C0"/>
    <w:rsid w:val="001A0BF9"/>
    <w:rsid w:val="001A0CAB"/>
    <w:rsid w:val="001A0E97"/>
    <w:rsid w:val="001A11AE"/>
    <w:rsid w:val="001A17B1"/>
    <w:rsid w:val="001A184B"/>
    <w:rsid w:val="001A18F3"/>
    <w:rsid w:val="001A19AE"/>
    <w:rsid w:val="001A1A0D"/>
    <w:rsid w:val="001A22A6"/>
    <w:rsid w:val="001A26FC"/>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A53"/>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8E"/>
    <w:rsid w:val="001B21D1"/>
    <w:rsid w:val="001B2367"/>
    <w:rsid w:val="001B24AE"/>
    <w:rsid w:val="001B294F"/>
    <w:rsid w:val="001B2DA1"/>
    <w:rsid w:val="001B3283"/>
    <w:rsid w:val="001B3288"/>
    <w:rsid w:val="001B354F"/>
    <w:rsid w:val="001B35CD"/>
    <w:rsid w:val="001B3787"/>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3CD"/>
    <w:rsid w:val="001B5430"/>
    <w:rsid w:val="001B553D"/>
    <w:rsid w:val="001B5ADA"/>
    <w:rsid w:val="001B5F20"/>
    <w:rsid w:val="001B612C"/>
    <w:rsid w:val="001B6331"/>
    <w:rsid w:val="001B6CF6"/>
    <w:rsid w:val="001B6DA5"/>
    <w:rsid w:val="001B6F5C"/>
    <w:rsid w:val="001B778F"/>
    <w:rsid w:val="001B77FA"/>
    <w:rsid w:val="001B797E"/>
    <w:rsid w:val="001B79BF"/>
    <w:rsid w:val="001B7A4E"/>
    <w:rsid w:val="001B7AD4"/>
    <w:rsid w:val="001B7BEA"/>
    <w:rsid w:val="001C0017"/>
    <w:rsid w:val="001C0293"/>
    <w:rsid w:val="001C04CA"/>
    <w:rsid w:val="001C05C7"/>
    <w:rsid w:val="001C0647"/>
    <w:rsid w:val="001C0763"/>
    <w:rsid w:val="001C0780"/>
    <w:rsid w:val="001C098D"/>
    <w:rsid w:val="001C0A47"/>
    <w:rsid w:val="001C0B48"/>
    <w:rsid w:val="001C0CDA"/>
    <w:rsid w:val="001C0D92"/>
    <w:rsid w:val="001C0F92"/>
    <w:rsid w:val="001C127E"/>
    <w:rsid w:val="001C1371"/>
    <w:rsid w:val="001C13B0"/>
    <w:rsid w:val="001C167D"/>
    <w:rsid w:val="001C198C"/>
    <w:rsid w:val="001C1A0E"/>
    <w:rsid w:val="001C1B53"/>
    <w:rsid w:val="001C200D"/>
    <w:rsid w:val="001C2059"/>
    <w:rsid w:val="001C2098"/>
    <w:rsid w:val="001C24B4"/>
    <w:rsid w:val="001C24CB"/>
    <w:rsid w:val="001C27C2"/>
    <w:rsid w:val="001C2E9C"/>
    <w:rsid w:val="001C2FD5"/>
    <w:rsid w:val="001C34B2"/>
    <w:rsid w:val="001C358B"/>
    <w:rsid w:val="001C364D"/>
    <w:rsid w:val="001C3764"/>
    <w:rsid w:val="001C381E"/>
    <w:rsid w:val="001C395C"/>
    <w:rsid w:val="001C3AC5"/>
    <w:rsid w:val="001C3BF0"/>
    <w:rsid w:val="001C3DED"/>
    <w:rsid w:val="001C403F"/>
    <w:rsid w:val="001C4064"/>
    <w:rsid w:val="001C43BD"/>
    <w:rsid w:val="001C4597"/>
    <w:rsid w:val="001C4ABB"/>
    <w:rsid w:val="001C4B19"/>
    <w:rsid w:val="001C4F71"/>
    <w:rsid w:val="001C51D6"/>
    <w:rsid w:val="001C5282"/>
    <w:rsid w:val="001C53DC"/>
    <w:rsid w:val="001C5467"/>
    <w:rsid w:val="001C5468"/>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2B"/>
    <w:rsid w:val="001D0969"/>
    <w:rsid w:val="001D0AFA"/>
    <w:rsid w:val="001D0D46"/>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98E"/>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E7FDD"/>
    <w:rsid w:val="001F010B"/>
    <w:rsid w:val="001F01FC"/>
    <w:rsid w:val="001F0224"/>
    <w:rsid w:val="001F0240"/>
    <w:rsid w:val="001F04A7"/>
    <w:rsid w:val="001F07D2"/>
    <w:rsid w:val="001F09FC"/>
    <w:rsid w:val="001F0A4C"/>
    <w:rsid w:val="001F0E75"/>
    <w:rsid w:val="001F1161"/>
    <w:rsid w:val="001F12C8"/>
    <w:rsid w:val="001F1425"/>
    <w:rsid w:val="001F14A1"/>
    <w:rsid w:val="001F1AE0"/>
    <w:rsid w:val="001F21A7"/>
    <w:rsid w:val="001F23CF"/>
    <w:rsid w:val="001F251F"/>
    <w:rsid w:val="001F2742"/>
    <w:rsid w:val="001F28BB"/>
    <w:rsid w:val="001F29FA"/>
    <w:rsid w:val="001F2AD7"/>
    <w:rsid w:val="001F2D6D"/>
    <w:rsid w:val="001F2E19"/>
    <w:rsid w:val="001F30E5"/>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B1F"/>
    <w:rsid w:val="001F5C3E"/>
    <w:rsid w:val="001F61A3"/>
    <w:rsid w:val="001F61CF"/>
    <w:rsid w:val="001F642F"/>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33C"/>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6E3"/>
    <w:rsid w:val="00211CEC"/>
    <w:rsid w:val="00211F20"/>
    <w:rsid w:val="002122C1"/>
    <w:rsid w:val="002122F2"/>
    <w:rsid w:val="002122F3"/>
    <w:rsid w:val="00212432"/>
    <w:rsid w:val="00212467"/>
    <w:rsid w:val="002124EA"/>
    <w:rsid w:val="002129CC"/>
    <w:rsid w:val="002129F1"/>
    <w:rsid w:val="00212C2B"/>
    <w:rsid w:val="002131C8"/>
    <w:rsid w:val="002132B6"/>
    <w:rsid w:val="002133F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582"/>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E8"/>
    <w:rsid w:val="00226CFD"/>
    <w:rsid w:val="00226F36"/>
    <w:rsid w:val="00227BA0"/>
    <w:rsid w:val="00227D9B"/>
    <w:rsid w:val="002308D8"/>
    <w:rsid w:val="00230D90"/>
    <w:rsid w:val="0023129E"/>
    <w:rsid w:val="002312D9"/>
    <w:rsid w:val="00231378"/>
    <w:rsid w:val="00231A63"/>
    <w:rsid w:val="00231AD1"/>
    <w:rsid w:val="00231AE2"/>
    <w:rsid w:val="00231BE4"/>
    <w:rsid w:val="00231C1E"/>
    <w:rsid w:val="00231C66"/>
    <w:rsid w:val="00231CEB"/>
    <w:rsid w:val="00231D72"/>
    <w:rsid w:val="00231D79"/>
    <w:rsid w:val="00232111"/>
    <w:rsid w:val="0023213B"/>
    <w:rsid w:val="002324B0"/>
    <w:rsid w:val="0023265A"/>
    <w:rsid w:val="00232AAF"/>
    <w:rsid w:val="00232C4F"/>
    <w:rsid w:val="00232CC6"/>
    <w:rsid w:val="00232D9A"/>
    <w:rsid w:val="00232F8D"/>
    <w:rsid w:val="0023314C"/>
    <w:rsid w:val="0023314D"/>
    <w:rsid w:val="002331E4"/>
    <w:rsid w:val="00233257"/>
    <w:rsid w:val="00233488"/>
    <w:rsid w:val="00233492"/>
    <w:rsid w:val="00233526"/>
    <w:rsid w:val="002335E5"/>
    <w:rsid w:val="002336CE"/>
    <w:rsid w:val="002336E5"/>
    <w:rsid w:val="002336EC"/>
    <w:rsid w:val="00233766"/>
    <w:rsid w:val="00233B50"/>
    <w:rsid w:val="00233C47"/>
    <w:rsid w:val="00233D0F"/>
    <w:rsid w:val="0023410E"/>
    <w:rsid w:val="0023427F"/>
    <w:rsid w:val="00234478"/>
    <w:rsid w:val="0023458A"/>
    <w:rsid w:val="0023461D"/>
    <w:rsid w:val="00234702"/>
    <w:rsid w:val="00234B42"/>
    <w:rsid w:val="00234D9C"/>
    <w:rsid w:val="00234F1B"/>
    <w:rsid w:val="00234FBE"/>
    <w:rsid w:val="002351D8"/>
    <w:rsid w:val="0023549C"/>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D17"/>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81"/>
    <w:rsid w:val="00255D93"/>
    <w:rsid w:val="00255E19"/>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A0F"/>
    <w:rsid w:val="00261A72"/>
    <w:rsid w:val="00261C82"/>
    <w:rsid w:val="00261E41"/>
    <w:rsid w:val="00261E5E"/>
    <w:rsid w:val="00261E99"/>
    <w:rsid w:val="002620E5"/>
    <w:rsid w:val="00262202"/>
    <w:rsid w:val="0026240D"/>
    <w:rsid w:val="002624BD"/>
    <w:rsid w:val="0026265B"/>
    <w:rsid w:val="00262693"/>
    <w:rsid w:val="00262973"/>
    <w:rsid w:val="00262A86"/>
    <w:rsid w:val="00262ED0"/>
    <w:rsid w:val="0026308B"/>
    <w:rsid w:val="00263355"/>
    <w:rsid w:val="002634C3"/>
    <w:rsid w:val="002635CA"/>
    <w:rsid w:val="002637B5"/>
    <w:rsid w:val="00263D44"/>
    <w:rsid w:val="00263DBA"/>
    <w:rsid w:val="00263F07"/>
    <w:rsid w:val="00264561"/>
    <w:rsid w:val="00264C6B"/>
    <w:rsid w:val="00264C79"/>
    <w:rsid w:val="00264D37"/>
    <w:rsid w:val="00264EA6"/>
    <w:rsid w:val="00264F09"/>
    <w:rsid w:val="00264F20"/>
    <w:rsid w:val="00264F40"/>
    <w:rsid w:val="00265214"/>
    <w:rsid w:val="00265753"/>
    <w:rsid w:val="00265977"/>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141"/>
    <w:rsid w:val="00270491"/>
    <w:rsid w:val="002704F1"/>
    <w:rsid w:val="00270538"/>
    <w:rsid w:val="00270724"/>
    <w:rsid w:val="0027086D"/>
    <w:rsid w:val="00270C18"/>
    <w:rsid w:val="00270DA4"/>
    <w:rsid w:val="00270DAA"/>
    <w:rsid w:val="00270EFA"/>
    <w:rsid w:val="00270FDE"/>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590"/>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56E"/>
    <w:rsid w:val="002906DC"/>
    <w:rsid w:val="00290B90"/>
    <w:rsid w:val="00290D5E"/>
    <w:rsid w:val="0029112B"/>
    <w:rsid w:val="002916DC"/>
    <w:rsid w:val="00291848"/>
    <w:rsid w:val="0029184B"/>
    <w:rsid w:val="00291FD5"/>
    <w:rsid w:val="00292016"/>
    <w:rsid w:val="00292038"/>
    <w:rsid w:val="00292685"/>
    <w:rsid w:val="002926A8"/>
    <w:rsid w:val="00292841"/>
    <w:rsid w:val="00292A6B"/>
    <w:rsid w:val="00292A73"/>
    <w:rsid w:val="00292BEE"/>
    <w:rsid w:val="00292C6D"/>
    <w:rsid w:val="00292CFA"/>
    <w:rsid w:val="00292D55"/>
    <w:rsid w:val="00292E06"/>
    <w:rsid w:val="00292E12"/>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E20"/>
    <w:rsid w:val="00295E27"/>
    <w:rsid w:val="00295F0E"/>
    <w:rsid w:val="00296095"/>
    <w:rsid w:val="00296233"/>
    <w:rsid w:val="0029623A"/>
    <w:rsid w:val="002963F2"/>
    <w:rsid w:val="002965EA"/>
    <w:rsid w:val="002965F8"/>
    <w:rsid w:val="002967F3"/>
    <w:rsid w:val="002968BC"/>
    <w:rsid w:val="00296A41"/>
    <w:rsid w:val="00296CD1"/>
    <w:rsid w:val="00296E30"/>
    <w:rsid w:val="00296F66"/>
    <w:rsid w:val="00297100"/>
    <w:rsid w:val="0029725E"/>
    <w:rsid w:val="002974A3"/>
    <w:rsid w:val="002974E7"/>
    <w:rsid w:val="0029757C"/>
    <w:rsid w:val="0029783B"/>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4D5"/>
    <w:rsid w:val="002A69D7"/>
    <w:rsid w:val="002A6F4F"/>
    <w:rsid w:val="002A70E7"/>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4D1"/>
    <w:rsid w:val="002B592C"/>
    <w:rsid w:val="002B5D42"/>
    <w:rsid w:val="002B5DCF"/>
    <w:rsid w:val="002B5F34"/>
    <w:rsid w:val="002B5F85"/>
    <w:rsid w:val="002B63F0"/>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6A2"/>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B8B"/>
    <w:rsid w:val="002C6D68"/>
    <w:rsid w:val="002C6EF1"/>
    <w:rsid w:val="002C75D0"/>
    <w:rsid w:val="002C7ACC"/>
    <w:rsid w:val="002D0530"/>
    <w:rsid w:val="002D0AA0"/>
    <w:rsid w:val="002D0AAB"/>
    <w:rsid w:val="002D0AD3"/>
    <w:rsid w:val="002D0DC3"/>
    <w:rsid w:val="002D11B1"/>
    <w:rsid w:val="002D11E1"/>
    <w:rsid w:val="002D1563"/>
    <w:rsid w:val="002D1F53"/>
    <w:rsid w:val="002D1FD8"/>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7EF"/>
    <w:rsid w:val="002D48FF"/>
    <w:rsid w:val="002D4B7C"/>
    <w:rsid w:val="002D4CDF"/>
    <w:rsid w:val="002D589E"/>
    <w:rsid w:val="002D5DDC"/>
    <w:rsid w:val="002D5E53"/>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CFF"/>
    <w:rsid w:val="002E2F72"/>
    <w:rsid w:val="002E2FDC"/>
    <w:rsid w:val="002E30FF"/>
    <w:rsid w:val="002E323B"/>
    <w:rsid w:val="002E325B"/>
    <w:rsid w:val="002E345D"/>
    <w:rsid w:val="002E34AB"/>
    <w:rsid w:val="002E34E1"/>
    <w:rsid w:val="002E3842"/>
    <w:rsid w:val="002E3D53"/>
    <w:rsid w:val="002E3E73"/>
    <w:rsid w:val="002E42C8"/>
    <w:rsid w:val="002E4398"/>
    <w:rsid w:val="002E468F"/>
    <w:rsid w:val="002E4AB8"/>
    <w:rsid w:val="002E4E10"/>
    <w:rsid w:val="002E5453"/>
    <w:rsid w:val="002E57DB"/>
    <w:rsid w:val="002E57F0"/>
    <w:rsid w:val="002E58D1"/>
    <w:rsid w:val="002E5A3B"/>
    <w:rsid w:val="002E5E0B"/>
    <w:rsid w:val="002E5F34"/>
    <w:rsid w:val="002E5FF3"/>
    <w:rsid w:val="002E612D"/>
    <w:rsid w:val="002E64AC"/>
    <w:rsid w:val="002E64E2"/>
    <w:rsid w:val="002E65CD"/>
    <w:rsid w:val="002E68BD"/>
    <w:rsid w:val="002E6E4D"/>
    <w:rsid w:val="002E6E72"/>
    <w:rsid w:val="002E6FD2"/>
    <w:rsid w:val="002E7056"/>
    <w:rsid w:val="002E733D"/>
    <w:rsid w:val="002E79FA"/>
    <w:rsid w:val="002F0052"/>
    <w:rsid w:val="002F0222"/>
    <w:rsid w:val="002F049D"/>
    <w:rsid w:val="002F04FE"/>
    <w:rsid w:val="002F0C48"/>
    <w:rsid w:val="002F16E2"/>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BD8"/>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948"/>
    <w:rsid w:val="00301A88"/>
    <w:rsid w:val="00301E71"/>
    <w:rsid w:val="00302317"/>
    <w:rsid w:val="0030239A"/>
    <w:rsid w:val="003024D4"/>
    <w:rsid w:val="00302501"/>
    <w:rsid w:val="0030253A"/>
    <w:rsid w:val="003028AF"/>
    <w:rsid w:val="00302DD7"/>
    <w:rsid w:val="003034D5"/>
    <w:rsid w:val="003037C8"/>
    <w:rsid w:val="003037E8"/>
    <w:rsid w:val="00303FEB"/>
    <w:rsid w:val="0030419A"/>
    <w:rsid w:val="00304262"/>
    <w:rsid w:val="0030426D"/>
    <w:rsid w:val="003042EE"/>
    <w:rsid w:val="003044D6"/>
    <w:rsid w:val="003046A5"/>
    <w:rsid w:val="003048C8"/>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28"/>
    <w:rsid w:val="0031083D"/>
    <w:rsid w:val="00310CF1"/>
    <w:rsid w:val="00310D7E"/>
    <w:rsid w:val="00310E4E"/>
    <w:rsid w:val="00310EBF"/>
    <w:rsid w:val="00310FD6"/>
    <w:rsid w:val="00311121"/>
    <w:rsid w:val="003112CD"/>
    <w:rsid w:val="003112DF"/>
    <w:rsid w:val="00311400"/>
    <w:rsid w:val="0031141C"/>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2EF"/>
    <w:rsid w:val="0031648B"/>
    <w:rsid w:val="003166AE"/>
    <w:rsid w:val="00316723"/>
    <w:rsid w:val="003167CD"/>
    <w:rsid w:val="00316C05"/>
    <w:rsid w:val="00316DDE"/>
    <w:rsid w:val="00317021"/>
    <w:rsid w:val="0031716E"/>
    <w:rsid w:val="00317198"/>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43C"/>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7AC"/>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0D3"/>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4DD"/>
    <w:rsid w:val="00337526"/>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1DE"/>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40"/>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19"/>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2D3F"/>
    <w:rsid w:val="003534D6"/>
    <w:rsid w:val="00353542"/>
    <w:rsid w:val="003536B9"/>
    <w:rsid w:val="00353729"/>
    <w:rsid w:val="003539A0"/>
    <w:rsid w:val="00353C3E"/>
    <w:rsid w:val="00353CAD"/>
    <w:rsid w:val="00353DCC"/>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AF6"/>
    <w:rsid w:val="00357E24"/>
    <w:rsid w:val="00357EF2"/>
    <w:rsid w:val="00360155"/>
    <w:rsid w:val="00360272"/>
    <w:rsid w:val="00360332"/>
    <w:rsid w:val="00360477"/>
    <w:rsid w:val="003604BC"/>
    <w:rsid w:val="0036056D"/>
    <w:rsid w:val="0036062D"/>
    <w:rsid w:val="003606BF"/>
    <w:rsid w:val="0036097D"/>
    <w:rsid w:val="00360D5D"/>
    <w:rsid w:val="00361006"/>
    <w:rsid w:val="00361163"/>
    <w:rsid w:val="0036128C"/>
    <w:rsid w:val="00361C30"/>
    <w:rsid w:val="003620FE"/>
    <w:rsid w:val="0036213C"/>
    <w:rsid w:val="00362A7E"/>
    <w:rsid w:val="00362D3F"/>
    <w:rsid w:val="00362E6D"/>
    <w:rsid w:val="00363216"/>
    <w:rsid w:val="003632D5"/>
    <w:rsid w:val="0036355F"/>
    <w:rsid w:val="00363CDA"/>
    <w:rsid w:val="003640D0"/>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6FD3"/>
    <w:rsid w:val="0036700A"/>
    <w:rsid w:val="003670D7"/>
    <w:rsid w:val="00367107"/>
    <w:rsid w:val="00367192"/>
    <w:rsid w:val="003674E5"/>
    <w:rsid w:val="00367B99"/>
    <w:rsid w:val="00367E27"/>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27"/>
    <w:rsid w:val="0037480A"/>
    <w:rsid w:val="00374834"/>
    <w:rsid w:val="00374856"/>
    <w:rsid w:val="003749BD"/>
    <w:rsid w:val="00374C25"/>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00A"/>
    <w:rsid w:val="00383805"/>
    <w:rsid w:val="00383C01"/>
    <w:rsid w:val="00383CFF"/>
    <w:rsid w:val="003840EF"/>
    <w:rsid w:val="003842AA"/>
    <w:rsid w:val="003842D0"/>
    <w:rsid w:val="003843E2"/>
    <w:rsid w:val="00384687"/>
    <w:rsid w:val="00384AA0"/>
    <w:rsid w:val="00384CA8"/>
    <w:rsid w:val="00384EBB"/>
    <w:rsid w:val="00385031"/>
    <w:rsid w:val="00385102"/>
    <w:rsid w:val="00385259"/>
    <w:rsid w:val="00385418"/>
    <w:rsid w:val="00385437"/>
    <w:rsid w:val="00385741"/>
    <w:rsid w:val="0038582F"/>
    <w:rsid w:val="00385CFF"/>
    <w:rsid w:val="00385D9A"/>
    <w:rsid w:val="00385E2A"/>
    <w:rsid w:val="00385EBA"/>
    <w:rsid w:val="00386117"/>
    <w:rsid w:val="003868FF"/>
    <w:rsid w:val="00386B47"/>
    <w:rsid w:val="00386DBD"/>
    <w:rsid w:val="00386F57"/>
    <w:rsid w:val="0038718C"/>
    <w:rsid w:val="00387224"/>
    <w:rsid w:val="003874D3"/>
    <w:rsid w:val="003875CF"/>
    <w:rsid w:val="003877FA"/>
    <w:rsid w:val="003878DD"/>
    <w:rsid w:val="00387A3F"/>
    <w:rsid w:val="00387AAB"/>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3E"/>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C5"/>
    <w:rsid w:val="003976D9"/>
    <w:rsid w:val="00397975"/>
    <w:rsid w:val="00397BC7"/>
    <w:rsid w:val="003A02D7"/>
    <w:rsid w:val="003A0435"/>
    <w:rsid w:val="003A063F"/>
    <w:rsid w:val="003A0775"/>
    <w:rsid w:val="003A09D6"/>
    <w:rsid w:val="003A0A6C"/>
    <w:rsid w:val="003A0F63"/>
    <w:rsid w:val="003A1072"/>
    <w:rsid w:val="003A11C1"/>
    <w:rsid w:val="003A1363"/>
    <w:rsid w:val="003A15ED"/>
    <w:rsid w:val="003A15F0"/>
    <w:rsid w:val="003A16F3"/>
    <w:rsid w:val="003A1C9E"/>
    <w:rsid w:val="003A1E09"/>
    <w:rsid w:val="003A1E5D"/>
    <w:rsid w:val="003A2007"/>
    <w:rsid w:val="003A20D4"/>
    <w:rsid w:val="003A2543"/>
    <w:rsid w:val="003A259D"/>
    <w:rsid w:val="003A2811"/>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2D1"/>
    <w:rsid w:val="003B0421"/>
    <w:rsid w:val="003B0632"/>
    <w:rsid w:val="003B08B0"/>
    <w:rsid w:val="003B0926"/>
    <w:rsid w:val="003B0D16"/>
    <w:rsid w:val="003B11CE"/>
    <w:rsid w:val="003B13C3"/>
    <w:rsid w:val="003B15B2"/>
    <w:rsid w:val="003B15EB"/>
    <w:rsid w:val="003B1625"/>
    <w:rsid w:val="003B17EA"/>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812"/>
    <w:rsid w:val="003B39F3"/>
    <w:rsid w:val="003B3A12"/>
    <w:rsid w:val="003B3EF1"/>
    <w:rsid w:val="003B3F57"/>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6F92"/>
    <w:rsid w:val="003D7049"/>
    <w:rsid w:val="003D74CC"/>
    <w:rsid w:val="003D7522"/>
    <w:rsid w:val="003E0199"/>
    <w:rsid w:val="003E0358"/>
    <w:rsid w:val="003E0374"/>
    <w:rsid w:val="003E0ADC"/>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671"/>
    <w:rsid w:val="003E571C"/>
    <w:rsid w:val="003E58DD"/>
    <w:rsid w:val="003E5A28"/>
    <w:rsid w:val="003E5F7E"/>
    <w:rsid w:val="003E65DD"/>
    <w:rsid w:val="003E6838"/>
    <w:rsid w:val="003E6895"/>
    <w:rsid w:val="003E68EB"/>
    <w:rsid w:val="003E6A88"/>
    <w:rsid w:val="003E6B51"/>
    <w:rsid w:val="003E76D0"/>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50E9"/>
    <w:rsid w:val="00405291"/>
    <w:rsid w:val="004059FA"/>
    <w:rsid w:val="00405B31"/>
    <w:rsid w:val="00405BB4"/>
    <w:rsid w:val="0040606B"/>
    <w:rsid w:val="0040607C"/>
    <w:rsid w:val="004061AB"/>
    <w:rsid w:val="004063D6"/>
    <w:rsid w:val="0040648E"/>
    <w:rsid w:val="004064AE"/>
    <w:rsid w:val="004064E9"/>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5EF"/>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83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7A3"/>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91B"/>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49D"/>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5F1"/>
    <w:rsid w:val="004426B9"/>
    <w:rsid w:val="00442B24"/>
    <w:rsid w:val="00442DDA"/>
    <w:rsid w:val="00442EF7"/>
    <w:rsid w:val="00442F91"/>
    <w:rsid w:val="004432BF"/>
    <w:rsid w:val="00443614"/>
    <w:rsid w:val="00443E2D"/>
    <w:rsid w:val="00443F31"/>
    <w:rsid w:val="00444295"/>
    <w:rsid w:val="004448BA"/>
    <w:rsid w:val="00444949"/>
    <w:rsid w:val="00444A40"/>
    <w:rsid w:val="00444DE9"/>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9A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0D6E"/>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FB"/>
    <w:rsid w:val="004549C3"/>
    <w:rsid w:val="00454E3A"/>
    <w:rsid w:val="00454EE2"/>
    <w:rsid w:val="00455112"/>
    <w:rsid w:val="004552E1"/>
    <w:rsid w:val="004554CD"/>
    <w:rsid w:val="00455606"/>
    <w:rsid w:val="004558D0"/>
    <w:rsid w:val="00455AB3"/>
    <w:rsid w:val="00455C82"/>
    <w:rsid w:val="0045611C"/>
    <w:rsid w:val="00456222"/>
    <w:rsid w:val="0045662C"/>
    <w:rsid w:val="00456751"/>
    <w:rsid w:val="0045687E"/>
    <w:rsid w:val="00456A7C"/>
    <w:rsid w:val="00456AF5"/>
    <w:rsid w:val="00456AF7"/>
    <w:rsid w:val="00456BC8"/>
    <w:rsid w:val="00456CD6"/>
    <w:rsid w:val="00456E47"/>
    <w:rsid w:val="00456E8D"/>
    <w:rsid w:val="00457047"/>
    <w:rsid w:val="00457133"/>
    <w:rsid w:val="00457459"/>
    <w:rsid w:val="00457830"/>
    <w:rsid w:val="00457B3D"/>
    <w:rsid w:val="00457CD0"/>
    <w:rsid w:val="00457EEE"/>
    <w:rsid w:val="004600DE"/>
    <w:rsid w:val="00460246"/>
    <w:rsid w:val="00460A52"/>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5D80"/>
    <w:rsid w:val="00476063"/>
    <w:rsid w:val="00476248"/>
    <w:rsid w:val="0047632D"/>
    <w:rsid w:val="00476486"/>
    <w:rsid w:val="0047663A"/>
    <w:rsid w:val="0047665E"/>
    <w:rsid w:val="00476851"/>
    <w:rsid w:val="00476AB4"/>
    <w:rsid w:val="00476BD6"/>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0F3"/>
    <w:rsid w:val="00493207"/>
    <w:rsid w:val="00493377"/>
    <w:rsid w:val="0049359B"/>
    <w:rsid w:val="00493614"/>
    <w:rsid w:val="004937BF"/>
    <w:rsid w:val="004939B7"/>
    <w:rsid w:val="00493AFB"/>
    <w:rsid w:val="00493CF3"/>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095"/>
    <w:rsid w:val="004A1147"/>
    <w:rsid w:val="004A155D"/>
    <w:rsid w:val="004A1924"/>
    <w:rsid w:val="004A1DF6"/>
    <w:rsid w:val="004A1F4F"/>
    <w:rsid w:val="004A26A7"/>
    <w:rsid w:val="004A29C9"/>
    <w:rsid w:val="004A2A0E"/>
    <w:rsid w:val="004A2BBC"/>
    <w:rsid w:val="004A2D69"/>
    <w:rsid w:val="004A2D71"/>
    <w:rsid w:val="004A2EB5"/>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D35"/>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4F7"/>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A5D"/>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952"/>
    <w:rsid w:val="004C0C1E"/>
    <w:rsid w:val="004C0E78"/>
    <w:rsid w:val="004C0E96"/>
    <w:rsid w:val="004C0F26"/>
    <w:rsid w:val="004C0F29"/>
    <w:rsid w:val="004C12F3"/>
    <w:rsid w:val="004C1525"/>
    <w:rsid w:val="004C1688"/>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57"/>
    <w:rsid w:val="004C4D78"/>
    <w:rsid w:val="004C5236"/>
    <w:rsid w:val="004C54B6"/>
    <w:rsid w:val="004C5536"/>
    <w:rsid w:val="004C56C7"/>
    <w:rsid w:val="004C5AB2"/>
    <w:rsid w:val="004C5AE1"/>
    <w:rsid w:val="004C5C93"/>
    <w:rsid w:val="004C6064"/>
    <w:rsid w:val="004C60D1"/>
    <w:rsid w:val="004C61E5"/>
    <w:rsid w:val="004C6229"/>
    <w:rsid w:val="004C654C"/>
    <w:rsid w:val="004C658C"/>
    <w:rsid w:val="004C6708"/>
    <w:rsid w:val="004C68E4"/>
    <w:rsid w:val="004C6983"/>
    <w:rsid w:val="004C6BED"/>
    <w:rsid w:val="004C6E38"/>
    <w:rsid w:val="004C6E43"/>
    <w:rsid w:val="004C6E73"/>
    <w:rsid w:val="004C6F9D"/>
    <w:rsid w:val="004C73A5"/>
    <w:rsid w:val="004C76A3"/>
    <w:rsid w:val="004C7891"/>
    <w:rsid w:val="004C7901"/>
    <w:rsid w:val="004C797C"/>
    <w:rsid w:val="004C7EA7"/>
    <w:rsid w:val="004D0002"/>
    <w:rsid w:val="004D0245"/>
    <w:rsid w:val="004D02E2"/>
    <w:rsid w:val="004D057E"/>
    <w:rsid w:val="004D0859"/>
    <w:rsid w:val="004D0961"/>
    <w:rsid w:val="004D0963"/>
    <w:rsid w:val="004D0A19"/>
    <w:rsid w:val="004D0FAD"/>
    <w:rsid w:val="004D0FFA"/>
    <w:rsid w:val="004D1275"/>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45B"/>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2B1"/>
    <w:rsid w:val="004D5552"/>
    <w:rsid w:val="004D5803"/>
    <w:rsid w:val="004D58F7"/>
    <w:rsid w:val="004D5EDD"/>
    <w:rsid w:val="004D6111"/>
    <w:rsid w:val="004D66C1"/>
    <w:rsid w:val="004D68B6"/>
    <w:rsid w:val="004D6B0D"/>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885"/>
    <w:rsid w:val="004E3A0E"/>
    <w:rsid w:val="004E3ACB"/>
    <w:rsid w:val="004E3C4D"/>
    <w:rsid w:val="004E41FA"/>
    <w:rsid w:val="004E4883"/>
    <w:rsid w:val="004E497B"/>
    <w:rsid w:val="004E4B0E"/>
    <w:rsid w:val="004E4B8A"/>
    <w:rsid w:val="004E4BBC"/>
    <w:rsid w:val="004E4CC3"/>
    <w:rsid w:val="004E4FDD"/>
    <w:rsid w:val="004E51C1"/>
    <w:rsid w:val="004E5244"/>
    <w:rsid w:val="004E53F0"/>
    <w:rsid w:val="004E587D"/>
    <w:rsid w:val="004E6248"/>
    <w:rsid w:val="004E6442"/>
    <w:rsid w:val="004E6749"/>
    <w:rsid w:val="004E6864"/>
    <w:rsid w:val="004E6A2A"/>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008"/>
    <w:rsid w:val="004F171E"/>
    <w:rsid w:val="004F1933"/>
    <w:rsid w:val="004F1C18"/>
    <w:rsid w:val="004F2190"/>
    <w:rsid w:val="004F223E"/>
    <w:rsid w:val="004F24CF"/>
    <w:rsid w:val="004F27CF"/>
    <w:rsid w:val="004F29F7"/>
    <w:rsid w:val="004F2C4C"/>
    <w:rsid w:val="004F322E"/>
    <w:rsid w:val="004F3304"/>
    <w:rsid w:val="004F336F"/>
    <w:rsid w:val="004F35C3"/>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765"/>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78F"/>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A1"/>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E27"/>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29"/>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33F"/>
    <w:rsid w:val="005474EA"/>
    <w:rsid w:val="00547720"/>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6E"/>
    <w:rsid w:val="005521E0"/>
    <w:rsid w:val="0055239F"/>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D6C"/>
    <w:rsid w:val="00554EF3"/>
    <w:rsid w:val="00554F74"/>
    <w:rsid w:val="005550CA"/>
    <w:rsid w:val="005550E8"/>
    <w:rsid w:val="0055511E"/>
    <w:rsid w:val="00555144"/>
    <w:rsid w:val="00555371"/>
    <w:rsid w:val="005553E8"/>
    <w:rsid w:val="0055544E"/>
    <w:rsid w:val="00555FCC"/>
    <w:rsid w:val="00556256"/>
    <w:rsid w:val="005563B1"/>
    <w:rsid w:val="005564EA"/>
    <w:rsid w:val="00556610"/>
    <w:rsid w:val="0055692C"/>
    <w:rsid w:val="005569A9"/>
    <w:rsid w:val="00556A82"/>
    <w:rsid w:val="00557325"/>
    <w:rsid w:val="005576CD"/>
    <w:rsid w:val="005577A5"/>
    <w:rsid w:val="0055786F"/>
    <w:rsid w:val="005579A5"/>
    <w:rsid w:val="00557BAA"/>
    <w:rsid w:val="00557EF8"/>
    <w:rsid w:val="00560412"/>
    <w:rsid w:val="0056042B"/>
    <w:rsid w:val="00560510"/>
    <w:rsid w:val="0056069E"/>
    <w:rsid w:val="00560702"/>
    <w:rsid w:val="0056070F"/>
    <w:rsid w:val="005607C7"/>
    <w:rsid w:val="00560B26"/>
    <w:rsid w:val="00560CF2"/>
    <w:rsid w:val="00560F67"/>
    <w:rsid w:val="00560FBD"/>
    <w:rsid w:val="00561031"/>
    <w:rsid w:val="00561086"/>
    <w:rsid w:val="00561287"/>
    <w:rsid w:val="00561289"/>
    <w:rsid w:val="00561605"/>
    <w:rsid w:val="00561696"/>
    <w:rsid w:val="005619D3"/>
    <w:rsid w:val="00561A70"/>
    <w:rsid w:val="00561A9D"/>
    <w:rsid w:val="00561AD5"/>
    <w:rsid w:val="00561D96"/>
    <w:rsid w:val="00561F51"/>
    <w:rsid w:val="005621D6"/>
    <w:rsid w:val="005621DA"/>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6D1"/>
    <w:rsid w:val="0056470D"/>
    <w:rsid w:val="005648BF"/>
    <w:rsid w:val="005648E9"/>
    <w:rsid w:val="00564AE5"/>
    <w:rsid w:val="00564D19"/>
    <w:rsid w:val="00564EC5"/>
    <w:rsid w:val="00564F34"/>
    <w:rsid w:val="00564FB6"/>
    <w:rsid w:val="0056539B"/>
    <w:rsid w:val="00565625"/>
    <w:rsid w:val="00565959"/>
    <w:rsid w:val="00565BF5"/>
    <w:rsid w:val="00565C36"/>
    <w:rsid w:val="00565C47"/>
    <w:rsid w:val="0056622C"/>
    <w:rsid w:val="005663AE"/>
    <w:rsid w:val="005664C3"/>
    <w:rsid w:val="00566B42"/>
    <w:rsid w:val="00566C27"/>
    <w:rsid w:val="00567320"/>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47"/>
    <w:rsid w:val="00575AE5"/>
    <w:rsid w:val="00575CDC"/>
    <w:rsid w:val="00575E82"/>
    <w:rsid w:val="00575F09"/>
    <w:rsid w:val="00576058"/>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DC7"/>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FE"/>
    <w:rsid w:val="00595430"/>
    <w:rsid w:val="00595640"/>
    <w:rsid w:val="00595755"/>
    <w:rsid w:val="005958AD"/>
    <w:rsid w:val="00595BAD"/>
    <w:rsid w:val="00595C5E"/>
    <w:rsid w:val="005961BD"/>
    <w:rsid w:val="005963C8"/>
    <w:rsid w:val="0059666C"/>
    <w:rsid w:val="005967D1"/>
    <w:rsid w:val="00596873"/>
    <w:rsid w:val="00596DA9"/>
    <w:rsid w:val="00596E03"/>
    <w:rsid w:val="0059705E"/>
    <w:rsid w:val="0059715D"/>
    <w:rsid w:val="005972B6"/>
    <w:rsid w:val="005978C5"/>
    <w:rsid w:val="00597B5B"/>
    <w:rsid w:val="005A012A"/>
    <w:rsid w:val="005A0222"/>
    <w:rsid w:val="005A024B"/>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C09"/>
    <w:rsid w:val="005A4D54"/>
    <w:rsid w:val="005A5302"/>
    <w:rsid w:val="005A55F6"/>
    <w:rsid w:val="005A56FF"/>
    <w:rsid w:val="005A5839"/>
    <w:rsid w:val="005A597F"/>
    <w:rsid w:val="005A5997"/>
    <w:rsid w:val="005A5CE4"/>
    <w:rsid w:val="005A6480"/>
    <w:rsid w:val="005A693F"/>
    <w:rsid w:val="005A6963"/>
    <w:rsid w:val="005A6993"/>
    <w:rsid w:val="005A6AD2"/>
    <w:rsid w:val="005A72FB"/>
    <w:rsid w:val="005A742C"/>
    <w:rsid w:val="005A746A"/>
    <w:rsid w:val="005A74B4"/>
    <w:rsid w:val="005A759A"/>
    <w:rsid w:val="005A7F6F"/>
    <w:rsid w:val="005B02E3"/>
    <w:rsid w:val="005B0336"/>
    <w:rsid w:val="005B0375"/>
    <w:rsid w:val="005B0562"/>
    <w:rsid w:val="005B0883"/>
    <w:rsid w:val="005B0D51"/>
    <w:rsid w:val="005B0F5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DD9"/>
    <w:rsid w:val="005B2DDD"/>
    <w:rsid w:val="005B2ED7"/>
    <w:rsid w:val="005B3013"/>
    <w:rsid w:val="005B335D"/>
    <w:rsid w:val="005B33F4"/>
    <w:rsid w:val="005B3431"/>
    <w:rsid w:val="005B3A14"/>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D4D"/>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864"/>
    <w:rsid w:val="005D397C"/>
    <w:rsid w:val="005D39DA"/>
    <w:rsid w:val="005D39F5"/>
    <w:rsid w:val="005D3F49"/>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5EEC"/>
    <w:rsid w:val="005D62A3"/>
    <w:rsid w:val="005D6373"/>
    <w:rsid w:val="005D664A"/>
    <w:rsid w:val="005D672D"/>
    <w:rsid w:val="005D68AB"/>
    <w:rsid w:val="005D6C0B"/>
    <w:rsid w:val="005D6EDA"/>
    <w:rsid w:val="005D704B"/>
    <w:rsid w:val="005D70D2"/>
    <w:rsid w:val="005D71BF"/>
    <w:rsid w:val="005D74E6"/>
    <w:rsid w:val="005D75F6"/>
    <w:rsid w:val="005D765B"/>
    <w:rsid w:val="005D76D9"/>
    <w:rsid w:val="005D7700"/>
    <w:rsid w:val="005D7A19"/>
    <w:rsid w:val="005D7C00"/>
    <w:rsid w:val="005E0078"/>
    <w:rsid w:val="005E0433"/>
    <w:rsid w:val="005E090A"/>
    <w:rsid w:val="005E0964"/>
    <w:rsid w:val="005E0B62"/>
    <w:rsid w:val="005E0DB8"/>
    <w:rsid w:val="005E1346"/>
    <w:rsid w:val="005E13CB"/>
    <w:rsid w:val="005E1670"/>
    <w:rsid w:val="005E1769"/>
    <w:rsid w:val="005E1850"/>
    <w:rsid w:val="005E1888"/>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8C"/>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A3E"/>
    <w:rsid w:val="005E7C4E"/>
    <w:rsid w:val="005E7D2D"/>
    <w:rsid w:val="005F0441"/>
    <w:rsid w:val="005F07AD"/>
    <w:rsid w:val="005F0A87"/>
    <w:rsid w:val="005F0DE3"/>
    <w:rsid w:val="005F0ED2"/>
    <w:rsid w:val="005F0F67"/>
    <w:rsid w:val="005F1003"/>
    <w:rsid w:val="005F10EA"/>
    <w:rsid w:val="005F13AA"/>
    <w:rsid w:val="005F14C2"/>
    <w:rsid w:val="005F1567"/>
    <w:rsid w:val="005F18ED"/>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628"/>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3C4"/>
    <w:rsid w:val="00610594"/>
    <w:rsid w:val="00610653"/>
    <w:rsid w:val="006108AB"/>
    <w:rsid w:val="00610AB5"/>
    <w:rsid w:val="00610F3F"/>
    <w:rsid w:val="00611658"/>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4EF"/>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BED"/>
    <w:rsid w:val="00622E2E"/>
    <w:rsid w:val="006231F0"/>
    <w:rsid w:val="00623375"/>
    <w:rsid w:val="0062377F"/>
    <w:rsid w:val="00623896"/>
    <w:rsid w:val="00623AF8"/>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ADB"/>
    <w:rsid w:val="00627B4F"/>
    <w:rsid w:val="00627F2E"/>
    <w:rsid w:val="00630060"/>
    <w:rsid w:val="00630072"/>
    <w:rsid w:val="00630371"/>
    <w:rsid w:val="006304BA"/>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B2"/>
    <w:rsid w:val="006405D5"/>
    <w:rsid w:val="006408B8"/>
    <w:rsid w:val="00641064"/>
    <w:rsid w:val="006416F4"/>
    <w:rsid w:val="00641D60"/>
    <w:rsid w:val="00641E93"/>
    <w:rsid w:val="00641EA9"/>
    <w:rsid w:val="00641ED1"/>
    <w:rsid w:val="0064257E"/>
    <w:rsid w:val="00642760"/>
    <w:rsid w:val="0064276F"/>
    <w:rsid w:val="00642A5B"/>
    <w:rsid w:val="00642E2E"/>
    <w:rsid w:val="00642E6E"/>
    <w:rsid w:val="006431E8"/>
    <w:rsid w:val="00643634"/>
    <w:rsid w:val="00643EF3"/>
    <w:rsid w:val="0064403A"/>
    <w:rsid w:val="0064408E"/>
    <w:rsid w:val="006443BD"/>
    <w:rsid w:val="006445BC"/>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53E"/>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96E"/>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E8F"/>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67D0"/>
    <w:rsid w:val="00667524"/>
    <w:rsid w:val="006675B6"/>
    <w:rsid w:val="00667661"/>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34D"/>
    <w:rsid w:val="0067347C"/>
    <w:rsid w:val="006734A3"/>
    <w:rsid w:val="006735F4"/>
    <w:rsid w:val="006737EE"/>
    <w:rsid w:val="00673B77"/>
    <w:rsid w:val="00673FAA"/>
    <w:rsid w:val="0067409A"/>
    <w:rsid w:val="006743A3"/>
    <w:rsid w:val="006744D3"/>
    <w:rsid w:val="00674607"/>
    <w:rsid w:val="0067467E"/>
    <w:rsid w:val="00674700"/>
    <w:rsid w:val="00674760"/>
    <w:rsid w:val="00674929"/>
    <w:rsid w:val="006749AA"/>
    <w:rsid w:val="00674A45"/>
    <w:rsid w:val="00674C28"/>
    <w:rsid w:val="00674D4D"/>
    <w:rsid w:val="00674F7A"/>
    <w:rsid w:val="00675018"/>
    <w:rsid w:val="0067510C"/>
    <w:rsid w:val="0067555B"/>
    <w:rsid w:val="0067568E"/>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E30"/>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59A"/>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209"/>
    <w:rsid w:val="00686422"/>
    <w:rsid w:val="006865A5"/>
    <w:rsid w:val="00686626"/>
    <w:rsid w:val="0068673F"/>
    <w:rsid w:val="00686C2B"/>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D75"/>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441"/>
    <w:rsid w:val="006A655B"/>
    <w:rsid w:val="006A676A"/>
    <w:rsid w:val="006A676B"/>
    <w:rsid w:val="006A6D0F"/>
    <w:rsid w:val="006A6FC3"/>
    <w:rsid w:val="006A7449"/>
    <w:rsid w:val="006A75E3"/>
    <w:rsid w:val="006A761B"/>
    <w:rsid w:val="006A79F6"/>
    <w:rsid w:val="006A7B36"/>
    <w:rsid w:val="006A7C36"/>
    <w:rsid w:val="006B036C"/>
    <w:rsid w:val="006B04FD"/>
    <w:rsid w:val="006B0508"/>
    <w:rsid w:val="006B09C0"/>
    <w:rsid w:val="006B0A44"/>
    <w:rsid w:val="006B0A6D"/>
    <w:rsid w:val="006B0B78"/>
    <w:rsid w:val="006B0C12"/>
    <w:rsid w:val="006B0C53"/>
    <w:rsid w:val="006B0D33"/>
    <w:rsid w:val="006B0F91"/>
    <w:rsid w:val="006B1552"/>
    <w:rsid w:val="006B17C0"/>
    <w:rsid w:val="006B1B56"/>
    <w:rsid w:val="006B1BF6"/>
    <w:rsid w:val="006B1EF3"/>
    <w:rsid w:val="006B1F08"/>
    <w:rsid w:val="006B2203"/>
    <w:rsid w:val="006B26B9"/>
    <w:rsid w:val="006B26C3"/>
    <w:rsid w:val="006B2BDA"/>
    <w:rsid w:val="006B2C91"/>
    <w:rsid w:val="006B2EEA"/>
    <w:rsid w:val="006B327C"/>
    <w:rsid w:val="006B356D"/>
    <w:rsid w:val="006B3655"/>
    <w:rsid w:val="006B37D2"/>
    <w:rsid w:val="006B386C"/>
    <w:rsid w:val="006B38DD"/>
    <w:rsid w:val="006B41AC"/>
    <w:rsid w:val="006B4341"/>
    <w:rsid w:val="006B4653"/>
    <w:rsid w:val="006B4699"/>
    <w:rsid w:val="006B4A8E"/>
    <w:rsid w:val="006B4AFF"/>
    <w:rsid w:val="006B516F"/>
    <w:rsid w:val="006B5341"/>
    <w:rsid w:val="006B5538"/>
    <w:rsid w:val="006B5BBF"/>
    <w:rsid w:val="006B62F8"/>
    <w:rsid w:val="006B63C1"/>
    <w:rsid w:val="006B64F8"/>
    <w:rsid w:val="006B676A"/>
    <w:rsid w:val="006B6841"/>
    <w:rsid w:val="006B6BFF"/>
    <w:rsid w:val="006B714B"/>
    <w:rsid w:val="006B719F"/>
    <w:rsid w:val="006B7260"/>
    <w:rsid w:val="006B73D5"/>
    <w:rsid w:val="006B7491"/>
    <w:rsid w:val="006B775B"/>
    <w:rsid w:val="006B7A90"/>
    <w:rsid w:val="006B7BD4"/>
    <w:rsid w:val="006B7EB8"/>
    <w:rsid w:val="006B7FBB"/>
    <w:rsid w:val="006C04FA"/>
    <w:rsid w:val="006C0531"/>
    <w:rsid w:val="006C0711"/>
    <w:rsid w:val="006C07F6"/>
    <w:rsid w:val="006C0899"/>
    <w:rsid w:val="006C0A13"/>
    <w:rsid w:val="006C0AF3"/>
    <w:rsid w:val="006C0C5F"/>
    <w:rsid w:val="006C0DF4"/>
    <w:rsid w:val="006C10AC"/>
    <w:rsid w:val="006C11AE"/>
    <w:rsid w:val="006C129F"/>
    <w:rsid w:val="006C14A7"/>
    <w:rsid w:val="006C1CEE"/>
    <w:rsid w:val="006C1FE1"/>
    <w:rsid w:val="006C1FF4"/>
    <w:rsid w:val="006C2260"/>
    <w:rsid w:val="006C242A"/>
    <w:rsid w:val="006C2585"/>
    <w:rsid w:val="006C25C0"/>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62F"/>
    <w:rsid w:val="006D0855"/>
    <w:rsid w:val="006D0972"/>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C2C"/>
    <w:rsid w:val="006D4D02"/>
    <w:rsid w:val="006D4E1F"/>
    <w:rsid w:val="006D5431"/>
    <w:rsid w:val="006D5702"/>
    <w:rsid w:val="006D5AE9"/>
    <w:rsid w:val="006D5B0B"/>
    <w:rsid w:val="006D5F61"/>
    <w:rsid w:val="006D6463"/>
    <w:rsid w:val="006D651C"/>
    <w:rsid w:val="006D6525"/>
    <w:rsid w:val="006D6632"/>
    <w:rsid w:val="006D6AD3"/>
    <w:rsid w:val="006D7567"/>
    <w:rsid w:val="006D768D"/>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5FB1"/>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DA9"/>
    <w:rsid w:val="006F2EE4"/>
    <w:rsid w:val="006F3147"/>
    <w:rsid w:val="006F31A0"/>
    <w:rsid w:val="006F3862"/>
    <w:rsid w:val="006F3928"/>
    <w:rsid w:val="006F396F"/>
    <w:rsid w:val="006F39E4"/>
    <w:rsid w:val="006F3A0F"/>
    <w:rsid w:val="006F3A77"/>
    <w:rsid w:val="006F3AF1"/>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A20"/>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55C"/>
    <w:rsid w:val="0070473C"/>
    <w:rsid w:val="00704CE8"/>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8C"/>
    <w:rsid w:val="007131E3"/>
    <w:rsid w:val="007131FE"/>
    <w:rsid w:val="007132DA"/>
    <w:rsid w:val="00713410"/>
    <w:rsid w:val="0071370D"/>
    <w:rsid w:val="00713B0A"/>
    <w:rsid w:val="00713B2F"/>
    <w:rsid w:val="0071408E"/>
    <w:rsid w:val="007141F1"/>
    <w:rsid w:val="00714425"/>
    <w:rsid w:val="00714540"/>
    <w:rsid w:val="0071468F"/>
    <w:rsid w:val="00714818"/>
    <w:rsid w:val="00714AE6"/>
    <w:rsid w:val="00714B85"/>
    <w:rsid w:val="00714DB3"/>
    <w:rsid w:val="00714EEA"/>
    <w:rsid w:val="00714FDB"/>
    <w:rsid w:val="007155BE"/>
    <w:rsid w:val="00715FAD"/>
    <w:rsid w:val="0071603E"/>
    <w:rsid w:val="0071605E"/>
    <w:rsid w:val="007167CD"/>
    <w:rsid w:val="007167F1"/>
    <w:rsid w:val="00716B06"/>
    <w:rsid w:val="00716C76"/>
    <w:rsid w:val="00716D13"/>
    <w:rsid w:val="00717035"/>
    <w:rsid w:val="0071714E"/>
    <w:rsid w:val="0071726B"/>
    <w:rsid w:val="0071769D"/>
    <w:rsid w:val="007176EE"/>
    <w:rsid w:val="007177B7"/>
    <w:rsid w:val="00717837"/>
    <w:rsid w:val="00717A67"/>
    <w:rsid w:val="00717BC1"/>
    <w:rsid w:val="00717BCF"/>
    <w:rsid w:val="00717C5A"/>
    <w:rsid w:val="00717CDB"/>
    <w:rsid w:val="00717FE8"/>
    <w:rsid w:val="0072002E"/>
    <w:rsid w:val="00720128"/>
    <w:rsid w:val="007202A3"/>
    <w:rsid w:val="0072064A"/>
    <w:rsid w:val="007208AB"/>
    <w:rsid w:val="00720A79"/>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409"/>
    <w:rsid w:val="0072758B"/>
    <w:rsid w:val="0072777C"/>
    <w:rsid w:val="00727B3E"/>
    <w:rsid w:val="00727BCF"/>
    <w:rsid w:val="00727DC1"/>
    <w:rsid w:val="00730169"/>
    <w:rsid w:val="007304A5"/>
    <w:rsid w:val="00730C55"/>
    <w:rsid w:val="00731125"/>
    <w:rsid w:val="007311D3"/>
    <w:rsid w:val="007312C3"/>
    <w:rsid w:val="007314B1"/>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B2"/>
    <w:rsid w:val="00734209"/>
    <w:rsid w:val="007342B0"/>
    <w:rsid w:val="007342C7"/>
    <w:rsid w:val="007344A4"/>
    <w:rsid w:val="00734818"/>
    <w:rsid w:val="007349CA"/>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2DC2"/>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9E6"/>
    <w:rsid w:val="00764A39"/>
    <w:rsid w:val="00764A54"/>
    <w:rsid w:val="00764AC6"/>
    <w:rsid w:val="00764B82"/>
    <w:rsid w:val="00764F95"/>
    <w:rsid w:val="00764F9E"/>
    <w:rsid w:val="0076534E"/>
    <w:rsid w:val="0076550A"/>
    <w:rsid w:val="0076570F"/>
    <w:rsid w:val="007657C3"/>
    <w:rsid w:val="00765C3D"/>
    <w:rsid w:val="00765F11"/>
    <w:rsid w:val="007660B7"/>
    <w:rsid w:val="0076640E"/>
    <w:rsid w:val="0076667E"/>
    <w:rsid w:val="007668BA"/>
    <w:rsid w:val="00766FB5"/>
    <w:rsid w:val="00767443"/>
    <w:rsid w:val="0076775E"/>
    <w:rsid w:val="00767830"/>
    <w:rsid w:val="007679BA"/>
    <w:rsid w:val="00767B5C"/>
    <w:rsid w:val="00767D8E"/>
    <w:rsid w:val="00767DD0"/>
    <w:rsid w:val="00770189"/>
    <w:rsid w:val="00770285"/>
    <w:rsid w:val="00770400"/>
    <w:rsid w:val="00770634"/>
    <w:rsid w:val="007708FE"/>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769"/>
    <w:rsid w:val="00772BDC"/>
    <w:rsid w:val="00772F16"/>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4F91"/>
    <w:rsid w:val="0077537E"/>
    <w:rsid w:val="007753A4"/>
    <w:rsid w:val="007759DB"/>
    <w:rsid w:val="00775A01"/>
    <w:rsid w:val="00775EE7"/>
    <w:rsid w:val="0077602B"/>
    <w:rsid w:val="0077636F"/>
    <w:rsid w:val="007765BF"/>
    <w:rsid w:val="00776B4A"/>
    <w:rsid w:val="00776C83"/>
    <w:rsid w:val="00776ED8"/>
    <w:rsid w:val="00777247"/>
    <w:rsid w:val="007772D7"/>
    <w:rsid w:val="0077743D"/>
    <w:rsid w:val="00777459"/>
    <w:rsid w:val="00777518"/>
    <w:rsid w:val="007777AC"/>
    <w:rsid w:val="00777892"/>
    <w:rsid w:val="00777AF2"/>
    <w:rsid w:val="00777BE9"/>
    <w:rsid w:val="00777CF7"/>
    <w:rsid w:val="00777E1C"/>
    <w:rsid w:val="00777E73"/>
    <w:rsid w:val="00777E91"/>
    <w:rsid w:val="00777F1B"/>
    <w:rsid w:val="00780138"/>
    <w:rsid w:val="00780487"/>
    <w:rsid w:val="00780889"/>
    <w:rsid w:val="00780BDF"/>
    <w:rsid w:val="00780C52"/>
    <w:rsid w:val="00780C91"/>
    <w:rsid w:val="00780CF8"/>
    <w:rsid w:val="007812AA"/>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032"/>
    <w:rsid w:val="00791F20"/>
    <w:rsid w:val="007920E7"/>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A46"/>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B0C"/>
    <w:rsid w:val="00796E89"/>
    <w:rsid w:val="00796F76"/>
    <w:rsid w:val="00797005"/>
    <w:rsid w:val="0079730A"/>
    <w:rsid w:val="00797597"/>
    <w:rsid w:val="00797AC9"/>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31"/>
    <w:rsid w:val="007A169F"/>
    <w:rsid w:val="007A1821"/>
    <w:rsid w:val="007A1A14"/>
    <w:rsid w:val="007A1A72"/>
    <w:rsid w:val="007A1B06"/>
    <w:rsid w:val="007A1D5C"/>
    <w:rsid w:val="007A1FFA"/>
    <w:rsid w:val="007A22CE"/>
    <w:rsid w:val="007A2377"/>
    <w:rsid w:val="007A2713"/>
    <w:rsid w:val="007A2B55"/>
    <w:rsid w:val="007A2CDB"/>
    <w:rsid w:val="007A2E22"/>
    <w:rsid w:val="007A2EC8"/>
    <w:rsid w:val="007A2F72"/>
    <w:rsid w:val="007A3197"/>
    <w:rsid w:val="007A34A0"/>
    <w:rsid w:val="007A34A3"/>
    <w:rsid w:val="007A3521"/>
    <w:rsid w:val="007A359A"/>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91"/>
    <w:rsid w:val="007C40B4"/>
    <w:rsid w:val="007C43F6"/>
    <w:rsid w:val="007C4518"/>
    <w:rsid w:val="007C4C04"/>
    <w:rsid w:val="007C4C6F"/>
    <w:rsid w:val="007C4E21"/>
    <w:rsid w:val="007C4E68"/>
    <w:rsid w:val="007C4F63"/>
    <w:rsid w:val="007C506C"/>
    <w:rsid w:val="007C510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41E"/>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5FC"/>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DAA"/>
    <w:rsid w:val="007D5EC1"/>
    <w:rsid w:val="007D632A"/>
    <w:rsid w:val="007D636B"/>
    <w:rsid w:val="007D6797"/>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5E"/>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4D3"/>
    <w:rsid w:val="00800796"/>
    <w:rsid w:val="008007C7"/>
    <w:rsid w:val="00800921"/>
    <w:rsid w:val="00800B31"/>
    <w:rsid w:val="00800C5F"/>
    <w:rsid w:val="00800E9F"/>
    <w:rsid w:val="008010A7"/>
    <w:rsid w:val="008011B8"/>
    <w:rsid w:val="0080141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32"/>
    <w:rsid w:val="00802FAF"/>
    <w:rsid w:val="00803241"/>
    <w:rsid w:val="00803819"/>
    <w:rsid w:val="00803EA0"/>
    <w:rsid w:val="00803FE6"/>
    <w:rsid w:val="00804170"/>
    <w:rsid w:val="00804432"/>
    <w:rsid w:val="0080496D"/>
    <w:rsid w:val="00804A0B"/>
    <w:rsid w:val="00804CE3"/>
    <w:rsid w:val="00804D75"/>
    <w:rsid w:val="0080509C"/>
    <w:rsid w:val="008051EF"/>
    <w:rsid w:val="008053A8"/>
    <w:rsid w:val="0080552E"/>
    <w:rsid w:val="008056E0"/>
    <w:rsid w:val="00805B76"/>
    <w:rsid w:val="00805C95"/>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AE"/>
    <w:rsid w:val="008109ED"/>
    <w:rsid w:val="00810DA4"/>
    <w:rsid w:val="00810FA3"/>
    <w:rsid w:val="008118A6"/>
    <w:rsid w:val="00811F8F"/>
    <w:rsid w:val="008123CF"/>
    <w:rsid w:val="00812AF8"/>
    <w:rsid w:val="00812B3A"/>
    <w:rsid w:val="0081314C"/>
    <w:rsid w:val="0081336E"/>
    <w:rsid w:val="00813427"/>
    <w:rsid w:val="0081343B"/>
    <w:rsid w:val="00813781"/>
    <w:rsid w:val="00813793"/>
    <w:rsid w:val="0081384A"/>
    <w:rsid w:val="008138F8"/>
    <w:rsid w:val="00813D86"/>
    <w:rsid w:val="00813EBD"/>
    <w:rsid w:val="008143FD"/>
    <w:rsid w:val="00814443"/>
    <w:rsid w:val="008146E2"/>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50"/>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1D3"/>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6FD"/>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AC1"/>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A54"/>
    <w:rsid w:val="00845DDD"/>
    <w:rsid w:val="008461B6"/>
    <w:rsid w:val="00846315"/>
    <w:rsid w:val="00846322"/>
    <w:rsid w:val="0084634A"/>
    <w:rsid w:val="008463D0"/>
    <w:rsid w:val="008465D4"/>
    <w:rsid w:val="0084677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427"/>
    <w:rsid w:val="008515B3"/>
    <w:rsid w:val="008515EC"/>
    <w:rsid w:val="0085169C"/>
    <w:rsid w:val="00851824"/>
    <w:rsid w:val="00852118"/>
    <w:rsid w:val="008525CC"/>
    <w:rsid w:val="0085268F"/>
    <w:rsid w:val="00852722"/>
    <w:rsid w:val="00852758"/>
    <w:rsid w:val="0085275E"/>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81F"/>
    <w:rsid w:val="00855B54"/>
    <w:rsid w:val="00855DC1"/>
    <w:rsid w:val="0085629F"/>
    <w:rsid w:val="008562C4"/>
    <w:rsid w:val="00856472"/>
    <w:rsid w:val="00856523"/>
    <w:rsid w:val="0085678F"/>
    <w:rsid w:val="008568D9"/>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6EF"/>
    <w:rsid w:val="00860707"/>
    <w:rsid w:val="008607C8"/>
    <w:rsid w:val="00860BC1"/>
    <w:rsid w:val="00860C69"/>
    <w:rsid w:val="00860CB7"/>
    <w:rsid w:val="0086122A"/>
    <w:rsid w:val="00861708"/>
    <w:rsid w:val="00861805"/>
    <w:rsid w:val="00861A4A"/>
    <w:rsid w:val="00861B60"/>
    <w:rsid w:val="00861B6D"/>
    <w:rsid w:val="00861C71"/>
    <w:rsid w:val="0086257C"/>
    <w:rsid w:val="00862815"/>
    <w:rsid w:val="008628D2"/>
    <w:rsid w:val="00862958"/>
    <w:rsid w:val="00862F8F"/>
    <w:rsid w:val="0086350E"/>
    <w:rsid w:val="0086359C"/>
    <w:rsid w:val="008635AC"/>
    <w:rsid w:val="00863600"/>
    <w:rsid w:val="00863688"/>
    <w:rsid w:val="008636B9"/>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843"/>
    <w:rsid w:val="0086595D"/>
    <w:rsid w:val="00865D3D"/>
    <w:rsid w:val="008663DB"/>
    <w:rsid w:val="008667AB"/>
    <w:rsid w:val="008667DD"/>
    <w:rsid w:val="008669B0"/>
    <w:rsid w:val="00866A14"/>
    <w:rsid w:val="00866EA5"/>
    <w:rsid w:val="00867984"/>
    <w:rsid w:val="00867C69"/>
    <w:rsid w:val="00867CC5"/>
    <w:rsid w:val="00867E0C"/>
    <w:rsid w:val="00870358"/>
    <w:rsid w:val="0087039E"/>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B2B"/>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571F"/>
    <w:rsid w:val="0087622F"/>
    <w:rsid w:val="00876265"/>
    <w:rsid w:val="00876319"/>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D96"/>
    <w:rsid w:val="00881049"/>
    <w:rsid w:val="008811F4"/>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2C8"/>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AE"/>
    <w:rsid w:val="00886CFC"/>
    <w:rsid w:val="00886F21"/>
    <w:rsid w:val="00887576"/>
    <w:rsid w:val="00887837"/>
    <w:rsid w:val="00887846"/>
    <w:rsid w:val="008878DE"/>
    <w:rsid w:val="0088794C"/>
    <w:rsid w:val="00887E43"/>
    <w:rsid w:val="00887F09"/>
    <w:rsid w:val="00887FFE"/>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7A3"/>
    <w:rsid w:val="0089785A"/>
    <w:rsid w:val="008978FC"/>
    <w:rsid w:val="00897AC7"/>
    <w:rsid w:val="00897ACB"/>
    <w:rsid w:val="00897D38"/>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C70"/>
    <w:rsid w:val="008A1D3A"/>
    <w:rsid w:val="008A1E8B"/>
    <w:rsid w:val="008A233C"/>
    <w:rsid w:val="008A26D4"/>
    <w:rsid w:val="008A275A"/>
    <w:rsid w:val="008A295F"/>
    <w:rsid w:val="008A2A15"/>
    <w:rsid w:val="008A2A73"/>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7E6"/>
    <w:rsid w:val="008A583F"/>
    <w:rsid w:val="008A58E3"/>
    <w:rsid w:val="008A592B"/>
    <w:rsid w:val="008A5B38"/>
    <w:rsid w:val="008A6108"/>
    <w:rsid w:val="008A6230"/>
    <w:rsid w:val="008A63CE"/>
    <w:rsid w:val="008A6691"/>
    <w:rsid w:val="008A669A"/>
    <w:rsid w:val="008A6820"/>
    <w:rsid w:val="008A6F5A"/>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520"/>
    <w:rsid w:val="008B16D6"/>
    <w:rsid w:val="008B17B3"/>
    <w:rsid w:val="008B18FB"/>
    <w:rsid w:val="008B1A56"/>
    <w:rsid w:val="008B1D48"/>
    <w:rsid w:val="008B22BB"/>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5E7C"/>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344"/>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B41"/>
    <w:rsid w:val="008C6F36"/>
    <w:rsid w:val="008C7193"/>
    <w:rsid w:val="008C7204"/>
    <w:rsid w:val="008C7380"/>
    <w:rsid w:val="008C7461"/>
    <w:rsid w:val="008C782C"/>
    <w:rsid w:val="008C7903"/>
    <w:rsid w:val="008C7A35"/>
    <w:rsid w:val="008C7A36"/>
    <w:rsid w:val="008C7ADE"/>
    <w:rsid w:val="008C7B12"/>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3FA3"/>
    <w:rsid w:val="008D4186"/>
    <w:rsid w:val="008D419A"/>
    <w:rsid w:val="008D4902"/>
    <w:rsid w:val="008D4979"/>
    <w:rsid w:val="008D4C59"/>
    <w:rsid w:val="008D4E09"/>
    <w:rsid w:val="008D4FDC"/>
    <w:rsid w:val="008D51A3"/>
    <w:rsid w:val="008D53F1"/>
    <w:rsid w:val="008D5D3C"/>
    <w:rsid w:val="008D5D76"/>
    <w:rsid w:val="008D5DDA"/>
    <w:rsid w:val="008D5F73"/>
    <w:rsid w:val="008D6988"/>
    <w:rsid w:val="008D6CBD"/>
    <w:rsid w:val="008D6D83"/>
    <w:rsid w:val="008D6DB1"/>
    <w:rsid w:val="008D6EEE"/>
    <w:rsid w:val="008D7222"/>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C3A"/>
    <w:rsid w:val="008E2E7F"/>
    <w:rsid w:val="008E2F2B"/>
    <w:rsid w:val="008E2FA5"/>
    <w:rsid w:val="008E33FF"/>
    <w:rsid w:val="008E360D"/>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49"/>
    <w:rsid w:val="008F2598"/>
    <w:rsid w:val="008F2D82"/>
    <w:rsid w:val="008F2E57"/>
    <w:rsid w:val="008F2ED4"/>
    <w:rsid w:val="008F2F60"/>
    <w:rsid w:val="008F3467"/>
    <w:rsid w:val="008F3588"/>
    <w:rsid w:val="008F3A0C"/>
    <w:rsid w:val="008F3A64"/>
    <w:rsid w:val="008F3A9B"/>
    <w:rsid w:val="008F3C22"/>
    <w:rsid w:val="008F3DF5"/>
    <w:rsid w:val="008F3DFB"/>
    <w:rsid w:val="008F3EE0"/>
    <w:rsid w:val="008F3F9F"/>
    <w:rsid w:val="008F40B9"/>
    <w:rsid w:val="008F40CE"/>
    <w:rsid w:val="008F4264"/>
    <w:rsid w:val="008F42B5"/>
    <w:rsid w:val="008F4368"/>
    <w:rsid w:val="008F446F"/>
    <w:rsid w:val="008F456B"/>
    <w:rsid w:val="008F47C3"/>
    <w:rsid w:val="008F49B7"/>
    <w:rsid w:val="008F4AFF"/>
    <w:rsid w:val="008F4D1D"/>
    <w:rsid w:val="008F4D4B"/>
    <w:rsid w:val="008F4DF6"/>
    <w:rsid w:val="008F5558"/>
    <w:rsid w:val="008F561B"/>
    <w:rsid w:val="008F5795"/>
    <w:rsid w:val="008F5A5C"/>
    <w:rsid w:val="008F5C07"/>
    <w:rsid w:val="008F5D28"/>
    <w:rsid w:val="008F5D65"/>
    <w:rsid w:val="008F5EE9"/>
    <w:rsid w:val="008F6045"/>
    <w:rsid w:val="008F60EC"/>
    <w:rsid w:val="008F618B"/>
    <w:rsid w:val="008F62E9"/>
    <w:rsid w:val="008F6400"/>
    <w:rsid w:val="008F640B"/>
    <w:rsid w:val="008F6446"/>
    <w:rsid w:val="008F66C9"/>
    <w:rsid w:val="008F670C"/>
    <w:rsid w:val="008F671C"/>
    <w:rsid w:val="008F69CC"/>
    <w:rsid w:val="008F69FE"/>
    <w:rsid w:val="008F6E6D"/>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18B"/>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37E"/>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B52"/>
    <w:rsid w:val="00911C51"/>
    <w:rsid w:val="00911CC6"/>
    <w:rsid w:val="00911DBF"/>
    <w:rsid w:val="00911F55"/>
    <w:rsid w:val="009124B5"/>
    <w:rsid w:val="009125B8"/>
    <w:rsid w:val="00912994"/>
    <w:rsid w:val="009129C0"/>
    <w:rsid w:val="00912A08"/>
    <w:rsid w:val="00912AE5"/>
    <w:rsid w:val="00912C81"/>
    <w:rsid w:val="00912D82"/>
    <w:rsid w:val="00912E06"/>
    <w:rsid w:val="00912EF9"/>
    <w:rsid w:val="00912F78"/>
    <w:rsid w:val="009135D8"/>
    <w:rsid w:val="009137AC"/>
    <w:rsid w:val="00913B82"/>
    <w:rsid w:val="00913BE4"/>
    <w:rsid w:val="00913D0F"/>
    <w:rsid w:val="00913E64"/>
    <w:rsid w:val="00914232"/>
    <w:rsid w:val="0091441D"/>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667"/>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9FF"/>
    <w:rsid w:val="00932BC5"/>
    <w:rsid w:val="00932D45"/>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6DBC"/>
    <w:rsid w:val="00937087"/>
    <w:rsid w:val="00937249"/>
    <w:rsid w:val="009373FC"/>
    <w:rsid w:val="00937506"/>
    <w:rsid w:val="009375E1"/>
    <w:rsid w:val="00937699"/>
    <w:rsid w:val="0093799F"/>
    <w:rsid w:val="009379BD"/>
    <w:rsid w:val="009379DA"/>
    <w:rsid w:val="00937BC1"/>
    <w:rsid w:val="00937CC0"/>
    <w:rsid w:val="0094056A"/>
    <w:rsid w:val="0094068A"/>
    <w:rsid w:val="0094098F"/>
    <w:rsid w:val="00940ACB"/>
    <w:rsid w:val="00940E70"/>
    <w:rsid w:val="00941287"/>
    <w:rsid w:val="009412B2"/>
    <w:rsid w:val="00941331"/>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52B"/>
    <w:rsid w:val="00945660"/>
    <w:rsid w:val="00945B25"/>
    <w:rsid w:val="00945CA0"/>
    <w:rsid w:val="00945DE7"/>
    <w:rsid w:val="00945F2C"/>
    <w:rsid w:val="0094614B"/>
    <w:rsid w:val="009461DD"/>
    <w:rsid w:val="009462D6"/>
    <w:rsid w:val="00946632"/>
    <w:rsid w:val="00946BED"/>
    <w:rsid w:val="0094704D"/>
    <w:rsid w:val="0094718E"/>
    <w:rsid w:val="009477F0"/>
    <w:rsid w:val="00947F1D"/>
    <w:rsid w:val="00947F4F"/>
    <w:rsid w:val="00950031"/>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509"/>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41B"/>
    <w:rsid w:val="00956907"/>
    <w:rsid w:val="00956910"/>
    <w:rsid w:val="00956C10"/>
    <w:rsid w:val="00956F4A"/>
    <w:rsid w:val="009572A1"/>
    <w:rsid w:val="0095765C"/>
    <w:rsid w:val="00957E30"/>
    <w:rsid w:val="00957FD3"/>
    <w:rsid w:val="009600AB"/>
    <w:rsid w:val="00960255"/>
    <w:rsid w:val="009603A1"/>
    <w:rsid w:val="009603A2"/>
    <w:rsid w:val="00960477"/>
    <w:rsid w:val="00960545"/>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364"/>
    <w:rsid w:val="009637B7"/>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98E"/>
    <w:rsid w:val="00967A37"/>
    <w:rsid w:val="00967A47"/>
    <w:rsid w:val="00967A71"/>
    <w:rsid w:val="00967FAA"/>
    <w:rsid w:val="00967FC3"/>
    <w:rsid w:val="009701E4"/>
    <w:rsid w:val="009703C6"/>
    <w:rsid w:val="00970560"/>
    <w:rsid w:val="00970598"/>
    <w:rsid w:val="00970660"/>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352"/>
    <w:rsid w:val="0098060B"/>
    <w:rsid w:val="009806E9"/>
    <w:rsid w:val="0098097E"/>
    <w:rsid w:val="00980ACF"/>
    <w:rsid w:val="00980BA4"/>
    <w:rsid w:val="00980E75"/>
    <w:rsid w:val="0098107F"/>
    <w:rsid w:val="009811B1"/>
    <w:rsid w:val="00981273"/>
    <w:rsid w:val="0098163A"/>
    <w:rsid w:val="009818B9"/>
    <w:rsid w:val="00981CA2"/>
    <w:rsid w:val="0098205B"/>
    <w:rsid w:val="00982137"/>
    <w:rsid w:val="009828BC"/>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14"/>
    <w:rsid w:val="00986F46"/>
    <w:rsid w:val="0098707D"/>
    <w:rsid w:val="00987381"/>
    <w:rsid w:val="00987FFB"/>
    <w:rsid w:val="00990578"/>
    <w:rsid w:val="009906F6"/>
    <w:rsid w:val="0099089D"/>
    <w:rsid w:val="009908A7"/>
    <w:rsid w:val="0099098A"/>
    <w:rsid w:val="00990CF1"/>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0C07"/>
    <w:rsid w:val="009A1240"/>
    <w:rsid w:val="009A13AD"/>
    <w:rsid w:val="009A1798"/>
    <w:rsid w:val="009A1A64"/>
    <w:rsid w:val="009A209D"/>
    <w:rsid w:val="009A2116"/>
    <w:rsid w:val="009A22B7"/>
    <w:rsid w:val="009A232F"/>
    <w:rsid w:val="009A2976"/>
    <w:rsid w:val="009A3182"/>
    <w:rsid w:val="009A3292"/>
    <w:rsid w:val="009A32EC"/>
    <w:rsid w:val="009A3539"/>
    <w:rsid w:val="009A3C59"/>
    <w:rsid w:val="009A3E61"/>
    <w:rsid w:val="009A408C"/>
    <w:rsid w:val="009A4105"/>
    <w:rsid w:val="009A4307"/>
    <w:rsid w:val="009A4599"/>
    <w:rsid w:val="009A4661"/>
    <w:rsid w:val="009A4695"/>
    <w:rsid w:val="009A48C7"/>
    <w:rsid w:val="009A49F8"/>
    <w:rsid w:val="009A4FF9"/>
    <w:rsid w:val="009A5222"/>
    <w:rsid w:val="009A55B9"/>
    <w:rsid w:val="009A59A2"/>
    <w:rsid w:val="009A5A26"/>
    <w:rsid w:val="009A5B27"/>
    <w:rsid w:val="009A5DAD"/>
    <w:rsid w:val="009A64C3"/>
    <w:rsid w:val="009A65F2"/>
    <w:rsid w:val="009A65FE"/>
    <w:rsid w:val="009A6744"/>
    <w:rsid w:val="009A687B"/>
    <w:rsid w:val="009A692A"/>
    <w:rsid w:val="009A6A63"/>
    <w:rsid w:val="009A6D38"/>
    <w:rsid w:val="009A6E11"/>
    <w:rsid w:val="009A6F42"/>
    <w:rsid w:val="009A706B"/>
    <w:rsid w:val="009A742C"/>
    <w:rsid w:val="009A74B8"/>
    <w:rsid w:val="009A75A3"/>
    <w:rsid w:val="009A7706"/>
    <w:rsid w:val="009A7C9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527"/>
    <w:rsid w:val="009B28BF"/>
    <w:rsid w:val="009B2E36"/>
    <w:rsid w:val="009B2F6E"/>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3CD"/>
    <w:rsid w:val="009B65C1"/>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BDD"/>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90E"/>
    <w:rsid w:val="009E1B7A"/>
    <w:rsid w:val="009E1BD6"/>
    <w:rsid w:val="009E1DB4"/>
    <w:rsid w:val="009E2AF5"/>
    <w:rsid w:val="009E2B7A"/>
    <w:rsid w:val="009E304E"/>
    <w:rsid w:val="009E3590"/>
    <w:rsid w:val="009E36BC"/>
    <w:rsid w:val="009E3B33"/>
    <w:rsid w:val="009E3E5E"/>
    <w:rsid w:val="009E4920"/>
    <w:rsid w:val="009E4A2D"/>
    <w:rsid w:val="009E4B07"/>
    <w:rsid w:val="009E50C1"/>
    <w:rsid w:val="009E5186"/>
    <w:rsid w:val="009E51DE"/>
    <w:rsid w:val="009E5327"/>
    <w:rsid w:val="009E5370"/>
    <w:rsid w:val="009E54FA"/>
    <w:rsid w:val="009E55CA"/>
    <w:rsid w:val="009E5724"/>
    <w:rsid w:val="009E5BA6"/>
    <w:rsid w:val="009E5EA4"/>
    <w:rsid w:val="009E5FA1"/>
    <w:rsid w:val="009E61FC"/>
    <w:rsid w:val="009E6347"/>
    <w:rsid w:val="009E6724"/>
    <w:rsid w:val="009E675C"/>
    <w:rsid w:val="009E6BFC"/>
    <w:rsid w:val="009E6C24"/>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A8E"/>
    <w:rsid w:val="009F1C04"/>
    <w:rsid w:val="009F1CBB"/>
    <w:rsid w:val="009F1FA8"/>
    <w:rsid w:val="009F22BA"/>
    <w:rsid w:val="009F2472"/>
    <w:rsid w:val="009F25C5"/>
    <w:rsid w:val="009F2714"/>
    <w:rsid w:val="009F27BD"/>
    <w:rsid w:val="009F295A"/>
    <w:rsid w:val="009F2B72"/>
    <w:rsid w:val="009F2DAE"/>
    <w:rsid w:val="009F301D"/>
    <w:rsid w:val="009F3055"/>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8D0"/>
    <w:rsid w:val="009F5C01"/>
    <w:rsid w:val="009F5DA7"/>
    <w:rsid w:val="009F5EB5"/>
    <w:rsid w:val="009F6269"/>
    <w:rsid w:val="009F6690"/>
    <w:rsid w:val="009F68B7"/>
    <w:rsid w:val="009F68EE"/>
    <w:rsid w:val="009F6954"/>
    <w:rsid w:val="009F69DC"/>
    <w:rsid w:val="009F6A39"/>
    <w:rsid w:val="009F6A79"/>
    <w:rsid w:val="009F6E71"/>
    <w:rsid w:val="009F7386"/>
    <w:rsid w:val="009F762C"/>
    <w:rsid w:val="009F76A7"/>
    <w:rsid w:val="009F7832"/>
    <w:rsid w:val="009F7A81"/>
    <w:rsid w:val="009F7AD8"/>
    <w:rsid w:val="009F7BEB"/>
    <w:rsid w:val="009F7E08"/>
    <w:rsid w:val="00A003B6"/>
    <w:rsid w:val="00A00415"/>
    <w:rsid w:val="00A00627"/>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4B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75A"/>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59E"/>
    <w:rsid w:val="00A1076C"/>
    <w:rsid w:val="00A108EA"/>
    <w:rsid w:val="00A108F9"/>
    <w:rsid w:val="00A10A23"/>
    <w:rsid w:val="00A10D37"/>
    <w:rsid w:val="00A10DCF"/>
    <w:rsid w:val="00A112A9"/>
    <w:rsid w:val="00A112E5"/>
    <w:rsid w:val="00A11456"/>
    <w:rsid w:val="00A11535"/>
    <w:rsid w:val="00A1156D"/>
    <w:rsid w:val="00A11CCC"/>
    <w:rsid w:val="00A12034"/>
    <w:rsid w:val="00A12736"/>
    <w:rsid w:val="00A1276C"/>
    <w:rsid w:val="00A12B00"/>
    <w:rsid w:val="00A12F00"/>
    <w:rsid w:val="00A132B6"/>
    <w:rsid w:val="00A134B0"/>
    <w:rsid w:val="00A13506"/>
    <w:rsid w:val="00A13698"/>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235"/>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F45"/>
    <w:rsid w:val="00A221E1"/>
    <w:rsid w:val="00A22549"/>
    <w:rsid w:val="00A226D1"/>
    <w:rsid w:val="00A2291E"/>
    <w:rsid w:val="00A22A7E"/>
    <w:rsid w:val="00A22BF7"/>
    <w:rsid w:val="00A22CBB"/>
    <w:rsid w:val="00A22D49"/>
    <w:rsid w:val="00A22D5A"/>
    <w:rsid w:val="00A23134"/>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84D"/>
    <w:rsid w:val="00A26C7D"/>
    <w:rsid w:val="00A26CDE"/>
    <w:rsid w:val="00A2713E"/>
    <w:rsid w:val="00A2778E"/>
    <w:rsid w:val="00A279AF"/>
    <w:rsid w:val="00A279C1"/>
    <w:rsid w:val="00A27B06"/>
    <w:rsid w:val="00A27B4B"/>
    <w:rsid w:val="00A27C4A"/>
    <w:rsid w:val="00A27C52"/>
    <w:rsid w:val="00A27CDC"/>
    <w:rsid w:val="00A27F79"/>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154"/>
    <w:rsid w:val="00A334BB"/>
    <w:rsid w:val="00A33683"/>
    <w:rsid w:val="00A338A7"/>
    <w:rsid w:val="00A33909"/>
    <w:rsid w:val="00A33CAE"/>
    <w:rsid w:val="00A33CD6"/>
    <w:rsid w:val="00A33CFB"/>
    <w:rsid w:val="00A33E68"/>
    <w:rsid w:val="00A342F9"/>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989"/>
    <w:rsid w:val="00A43C4A"/>
    <w:rsid w:val="00A43D41"/>
    <w:rsid w:val="00A43EB6"/>
    <w:rsid w:val="00A445DE"/>
    <w:rsid w:val="00A448C9"/>
    <w:rsid w:val="00A44B5C"/>
    <w:rsid w:val="00A44C2E"/>
    <w:rsid w:val="00A44DB4"/>
    <w:rsid w:val="00A45795"/>
    <w:rsid w:val="00A45A5F"/>
    <w:rsid w:val="00A45C54"/>
    <w:rsid w:val="00A462BF"/>
    <w:rsid w:val="00A464D0"/>
    <w:rsid w:val="00A464FF"/>
    <w:rsid w:val="00A46606"/>
    <w:rsid w:val="00A46943"/>
    <w:rsid w:val="00A46A04"/>
    <w:rsid w:val="00A46ED8"/>
    <w:rsid w:val="00A46F81"/>
    <w:rsid w:val="00A4715C"/>
    <w:rsid w:val="00A47435"/>
    <w:rsid w:val="00A475C0"/>
    <w:rsid w:val="00A47678"/>
    <w:rsid w:val="00A477DD"/>
    <w:rsid w:val="00A478F1"/>
    <w:rsid w:val="00A4798A"/>
    <w:rsid w:val="00A47BE9"/>
    <w:rsid w:val="00A47BF2"/>
    <w:rsid w:val="00A47C55"/>
    <w:rsid w:val="00A500EF"/>
    <w:rsid w:val="00A50241"/>
    <w:rsid w:val="00A502BC"/>
    <w:rsid w:val="00A503DA"/>
    <w:rsid w:val="00A505F5"/>
    <w:rsid w:val="00A50787"/>
    <w:rsid w:val="00A5089D"/>
    <w:rsid w:val="00A50B16"/>
    <w:rsid w:val="00A50E48"/>
    <w:rsid w:val="00A50FD4"/>
    <w:rsid w:val="00A51040"/>
    <w:rsid w:val="00A511D2"/>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6E2"/>
    <w:rsid w:val="00A55913"/>
    <w:rsid w:val="00A55C47"/>
    <w:rsid w:val="00A55D54"/>
    <w:rsid w:val="00A561BE"/>
    <w:rsid w:val="00A5628E"/>
    <w:rsid w:val="00A56371"/>
    <w:rsid w:val="00A56785"/>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9F"/>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0FE2"/>
    <w:rsid w:val="00A7107D"/>
    <w:rsid w:val="00A71128"/>
    <w:rsid w:val="00A71219"/>
    <w:rsid w:val="00A71562"/>
    <w:rsid w:val="00A7159E"/>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6F8"/>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D8"/>
    <w:rsid w:val="00A814B5"/>
    <w:rsid w:val="00A81572"/>
    <w:rsid w:val="00A81753"/>
    <w:rsid w:val="00A8187B"/>
    <w:rsid w:val="00A81B5C"/>
    <w:rsid w:val="00A81BFA"/>
    <w:rsid w:val="00A81DDD"/>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396"/>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57"/>
    <w:rsid w:val="00A95097"/>
    <w:rsid w:val="00A95227"/>
    <w:rsid w:val="00A952BF"/>
    <w:rsid w:val="00A952D9"/>
    <w:rsid w:val="00A953FD"/>
    <w:rsid w:val="00A954EB"/>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679"/>
    <w:rsid w:val="00AA07A2"/>
    <w:rsid w:val="00AA08D9"/>
    <w:rsid w:val="00AA0A31"/>
    <w:rsid w:val="00AA0E80"/>
    <w:rsid w:val="00AA17EC"/>
    <w:rsid w:val="00AA1979"/>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8CF"/>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4DB"/>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2F"/>
    <w:rsid w:val="00AC7894"/>
    <w:rsid w:val="00AD008E"/>
    <w:rsid w:val="00AD01E3"/>
    <w:rsid w:val="00AD030E"/>
    <w:rsid w:val="00AD04D2"/>
    <w:rsid w:val="00AD0589"/>
    <w:rsid w:val="00AD0926"/>
    <w:rsid w:val="00AD094E"/>
    <w:rsid w:val="00AD0B92"/>
    <w:rsid w:val="00AD0C50"/>
    <w:rsid w:val="00AD0CF0"/>
    <w:rsid w:val="00AD0E0D"/>
    <w:rsid w:val="00AD0E10"/>
    <w:rsid w:val="00AD1156"/>
    <w:rsid w:val="00AD1354"/>
    <w:rsid w:val="00AD15CC"/>
    <w:rsid w:val="00AD15D1"/>
    <w:rsid w:val="00AD16A6"/>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2E5"/>
    <w:rsid w:val="00AD5456"/>
    <w:rsid w:val="00AD5A38"/>
    <w:rsid w:val="00AD5C0C"/>
    <w:rsid w:val="00AD6179"/>
    <w:rsid w:val="00AD62F6"/>
    <w:rsid w:val="00AD68C7"/>
    <w:rsid w:val="00AD6A6F"/>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3F26"/>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4F3"/>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174"/>
    <w:rsid w:val="00AF5652"/>
    <w:rsid w:val="00AF56ED"/>
    <w:rsid w:val="00AF583B"/>
    <w:rsid w:val="00AF59F8"/>
    <w:rsid w:val="00AF5BDA"/>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1EFA"/>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0EB"/>
    <w:rsid w:val="00B0620A"/>
    <w:rsid w:val="00B0650F"/>
    <w:rsid w:val="00B06AFE"/>
    <w:rsid w:val="00B0703E"/>
    <w:rsid w:val="00B07357"/>
    <w:rsid w:val="00B0785E"/>
    <w:rsid w:val="00B078D6"/>
    <w:rsid w:val="00B07AC8"/>
    <w:rsid w:val="00B07B03"/>
    <w:rsid w:val="00B07E5D"/>
    <w:rsid w:val="00B07FB8"/>
    <w:rsid w:val="00B10085"/>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C09"/>
    <w:rsid w:val="00B12DDF"/>
    <w:rsid w:val="00B12E76"/>
    <w:rsid w:val="00B12F27"/>
    <w:rsid w:val="00B13088"/>
    <w:rsid w:val="00B13262"/>
    <w:rsid w:val="00B134BB"/>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5B40"/>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D2"/>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27F9C"/>
    <w:rsid w:val="00B30414"/>
    <w:rsid w:val="00B30A8F"/>
    <w:rsid w:val="00B30DC7"/>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3F"/>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696"/>
    <w:rsid w:val="00B43B8D"/>
    <w:rsid w:val="00B43C6F"/>
    <w:rsid w:val="00B440B5"/>
    <w:rsid w:val="00B4415B"/>
    <w:rsid w:val="00B4419E"/>
    <w:rsid w:val="00B4443F"/>
    <w:rsid w:val="00B44440"/>
    <w:rsid w:val="00B44B13"/>
    <w:rsid w:val="00B44CD4"/>
    <w:rsid w:val="00B44E1D"/>
    <w:rsid w:val="00B451F2"/>
    <w:rsid w:val="00B45B70"/>
    <w:rsid w:val="00B45B81"/>
    <w:rsid w:val="00B45D4D"/>
    <w:rsid w:val="00B45FD7"/>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177"/>
    <w:rsid w:val="00B5057F"/>
    <w:rsid w:val="00B506B4"/>
    <w:rsid w:val="00B506BC"/>
    <w:rsid w:val="00B506ED"/>
    <w:rsid w:val="00B50900"/>
    <w:rsid w:val="00B50BDB"/>
    <w:rsid w:val="00B50E3A"/>
    <w:rsid w:val="00B510B2"/>
    <w:rsid w:val="00B512D4"/>
    <w:rsid w:val="00B51693"/>
    <w:rsid w:val="00B519B4"/>
    <w:rsid w:val="00B519FF"/>
    <w:rsid w:val="00B51AFE"/>
    <w:rsid w:val="00B51BF0"/>
    <w:rsid w:val="00B51D8F"/>
    <w:rsid w:val="00B51E29"/>
    <w:rsid w:val="00B51F4E"/>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612"/>
    <w:rsid w:val="00B6171C"/>
    <w:rsid w:val="00B617E4"/>
    <w:rsid w:val="00B61A70"/>
    <w:rsid w:val="00B61DE3"/>
    <w:rsid w:val="00B61FF1"/>
    <w:rsid w:val="00B6222C"/>
    <w:rsid w:val="00B62294"/>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46B"/>
    <w:rsid w:val="00B66A16"/>
    <w:rsid w:val="00B6714B"/>
    <w:rsid w:val="00B67191"/>
    <w:rsid w:val="00B6741B"/>
    <w:rsid w:val="00B67428"/>
    <w:rsid w:val="00B677B4"/>
    <w:rsid w:val="00B679C3"/>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B6"/>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15A"/>
    <w:rsid w:val="00B815B7"/>
    <w:rsid w:val="00B8162A"/>
    <w:rsid w:val="00B816F2"/>
    <w:rsid w:val="00B81B1C"/>
    <w:rsid w:val="00B81DFD"/>
    <w:rsid w:val="00B82B8F"/>
    <w:rsid w:val="00B82DCF"/>
    <w:rsid w:val="00B82E9E"/>
    <w:rsid w:val="00B833D6"/>
    <w:rsid w:val="00B83410"/>
    <w:rsid w:val="00B83482"/>
    <w:rsid w:val="00B83519"/>
    <w:rsid w:val="00B838D9"/>
    <w:rsid w:val="00B839D2"/>
    <w:rsid w:val="00B83EAD"/>
    <w:rsid w:val="00B83EB6"/>
    <w:rsid w:val="00B8466B"/>
    <w:rsid w:val="00B8488F"/>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667"/>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85"/>
    <w:rsid w:val="00B91266"/>
    <w:rsid w:val="00B9133E"/>
    <w:rsid w:val="00B9134B"/>
    <w:rsid w:val="00B9137B"/>
    <w:rsid w:val="00B91503"/>
    <w:rsid w:val="00B9172A"/>
    <w:rsid w:val="00B917D0"/>
    <w:rsid w:val="00B917F0"/>
    <w:rsid w:val="00B92129"/>
    <w:rsid w:val="00B9220E"/>
    <w:rsid w:val="00B924A7"/>
    <w:rsid w:val="00B924C4"/>
    <w:rsid w:val="00B925B3"/>
    <w:rsid w:val="00B9265D"/>
    <w:rsid w:val="00B92918"/>
    <w:rsid w:val="00B9294C"/>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6DF"/>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ABC"/>
    <w:rsid w:val="00BA5B75"/>
    <w:rsid w:val="00BA5C04"/>
    <w:rsid w:val="00BA5D93"/>
    <w:rsid w:val="00BA60D9"/>
    <w:rsid w:val="00BA62B4"/>
    <w:rsid w:val="00BA63F4"/>
    <w:rsid w:val="00BA64A2"/>
    <w:rsid w:val="00BA6500"/>
    <w:rsid w:val="00BA6542"/>
    <w:rsid w:val="00BA662B"/>
    <w:rsid w:val="00BA6865"/>
    <w:rsid w:val="00BA6A4D"/>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39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91B"/>
    <w:rsid w:val="00BC0A00"/>
    <w:rsid w:val="00BC0C46"/>
    <w:rsid w:val="00BC0C7D"/>
    <w:rsid w:val="00BC0D44"/>
    <w:rsid w:val="00BC0E7F"/>
    <w:rsid w:val="00BC13DE"/>
    <w:rsid w:val="00BC15D2"/>
    <w:rsid w:val="00BC16FD"/>
    <w:rsid w:val="00BC171D"/>
    <w:rsid w:val="00BC1766"/>
    <w:rsid w:val="00BC1C66"/>
    <w:rsid w:val="00BC1C7F"/>
    <w:rsid w:val="00BC1F3F"/>
    <w:rsid w:val="00BC2124"/>
    <w:rsid w:val="00BC264B"/>
    <w:rsid w:val="00BC2729"/>
    <w:rsid w:val="00BC284B"/>
    <w:rsid w:val="00BC2C2C"/>
    <w:rsid w:val="00BC2D0C"/>
    <w:rsid w:val="00BC2EF6"/>
    <w:rsid w:val="00BC34D7"/>
    <w:rsid w:val="00BC361B"/>
    <w:rsid w:val="00BC3BA4"/>
    <w:rsid w:val="00BC3C36"/>
    <w:rsid w:val="00BC3E10"/>
    <w:rsid w:val="00BC3E5F"/>
    <w:rsid w:val="00BC41BD"/>
    <w:rsid w:val="00BC42C8"/>
    <w:rsid w:val="00BC446D"/>
    <w:rsid w:val="00BC4625"/>
    <w:rsid w:val="00BC4796"/>
    <w:rsid w:val="00BC48A8"/>
    <w:rsid w:val="00BC4ED1"/>
    <w:rsid w:val="00BC4FBE"/>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5EF"/>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A03"/>
    <w:rsid w:val="00BD3FFE"/>
    <w:rsid w:val="00BD40A7"/>
    <w:rsid w:val="00BD43D1"/>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AE1"/>
    <w:rsid w:val="00BD7B08"/>
    <w:rsid w:val="00BD7D6A"/>
    <w:rsid w:val="00BD7E40"/>
    <w:rsid w:val="00BE001E"/>
    <w:rsid w:val="00BE01D4"/>
    <w:rsid w:val="00BE0431"/>
    <w:rsid w:val="00BE060B"/>
    <w:rsid w:val="00BE0684"/>
    <w:rsid w:val="00BE077A"/>
    <w:rsid w:val="00BE0AC4"/>
    <w:rsid w:val="00BE0B4B"/>
    <w:rsid w:val="00BE0CBF"/>
    <w:rsid w:val="00BE0DF8"/>
    <w:rsid w:val="00BE0EDE"/>
    <w:rsid w:val="00BE12F1"/>
    <w:rsid w:val="00BE19B0"/>
    <w:rsid w:val="00BE1D6C"/>
    <w:rsid w:val="00BE1E22"/>
    <w:rsid w:val="00BE1F70"/>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49C"/>
    <w:rsid w:val="00BE75AB"/>
    <w:rsid w:val="00BE79A6"/>
    <w:rsid w:val="00BE7CEB"/>
    <w:rsid w:val="00BE7D01"/>
    <w:rsid w:val="00BF024F"/>
    <w:rsid w:val="00BF032A"/>
    <w:rsid w:val="00BF0498"/>
    <w:rsid w:val="00BF0649"/>
    <w:rsid w:val="00BF0885"/>
    <w:rsid w:val="00BF08A3"/>
    <w:rsid w:val="00BF08BA"/>
    <w:rsid w:val="00BF0979"/>
    <w:rsid w:val="00BF0DA9"/>
    <w:rsid w:val="00BF0F6F"/>
    <w:rsid w:val="00BF11FA"/>
    <w:rsid w:val="00BF1353"/>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EB1"/>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1FD"/>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6"/>
    <w:rsid w:val="00C135EC"/>
    <w:rsid w:val="00C136AD"/>
    <w:rsid w:val="00C137AE"/>
    <w:rsid w:val="00C138B9"/>
    <w:rsid w:val="00C138FB"/>
    <w:rsid w:val="00C13956"/>
    <w:rsid w:val="00C13CD5"/>
    <w:rsid w:val="00C13F8D"/>
    <w:rsid w:val="00C13FBA"/>
    <w:rsid w:val="00C14200"/>
    <w:rsid w:val="00C144B8"/>
    <w:rsid w:val="00C148A0"/>
    <w:rsid w:val="00C148C4"/>
    <w:rsid w:val="00C14990"/>
    <w:rsid w:val="00C14BAC"/>
    <w:rsid w:val="00C14D3C"/>
    <w:rsid w:val="00C14D8A"/>
    <w:rsid w:val="00C15211"/>
    <w:rsid w:val="00C1542D"/>
    <w:rsid w:val="00C154B5"/>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70BE"/>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DB0"/>
    <w:rsid w:val="00C42E7F"/>
    <w:rsid w:val="00C42FDC"/>
    <w:rsid w:val="00C430F1"/>
    <w:rsid w:val="00C432B9"/>
    <w:rsid w:val="00C433CA"/>
    <w:rsid w:val="00C438FE"/>
    <w:rsid w:val="00C43932"/>
    <w:rsid w:val="00C43A95"/>
    <w:rsid w:val="00C43B4B"/>
    <w:rsid w:val="00C43E5D"/>
    <w:rsid w:val="00C43F52"/>
    <w:rsid w:val="00C44012"/>
    <w:rsid w:val="00C443D3"/>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4F96"/>
    <w:rsid w:val="00C55005"/>
    <w:rsid w:val="00C55072"/>
    <w:rsid w:val="00C5509D"/>
    <w:rsid w:val="00C550A8"/>
    <w:rsid w:val="00C55185"/>
    <w:rsid w:val="00C551B7"/>
    <w:rsid w:val="00C55445"/>
    <w:rsid w:val="00C55A4B"/>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803"/>
    <w:rsid w:val="00C61E29"/>
    <w:rsid w:val="00C62184"/>
    <w:rsid w:val="00C6225C"/>
    <w:rsid w:val="00C6230D"/>
    <w:rsid w:val="00C625FB"/>
    <w:rsid w:val="00C62962"/>
    <w:rsid w:val="00C62B3B"/>
    <w:rsid w:val="00C62C29"/>
    <w:rsid w:val="00C63354"/>
    <w:rsid w:val="00C63362"/>
    <w:rsid w:val="00C63397"/>
    <w:rsid w:val="00C6346D"/>
    <w:rsid w:val="00C635AE"/>
    <w:rsid w:val="00C63873"/>
    <w:rsid w:val="00C63A3C"/>
    <w:rsid w:val="00C63AF7"/>
    <w:rsid w:val="00C63C82"/>
    <w:rsid w:val="00C63DFD"/>
    <w:rsid w:val="00C63E9B"/>
    <w:rsid w:val="00C63F41"/>
    <w:rsid w:val="00C63F55"/>
    <w:rsid w:val="00C63F72"/>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7B9"/>
    <w:rsid w:val="00C74A06"/>
    <w:rsid w:val="00C74AB0"/>
    <w:rsid w:val="00C7506F"/>
    <w:rsid w:val="00C7512A"/>
    <w:rsid w:val="00C75176"/>
    <w:rsid w:val="00C751BA"/>
    <w:rsid w:val="00C754FE"/>
    <w:rsid w:val="00C75748"/>
    <w:rsid w:val="00C758E3"/>
    <w:rsid w:val="00C75AC6"/>
    <w:rsid w:val="00C75BF7"/>
    <w:rsid w:val="00C75F0A"/>
    <w:rsid w:val="00C760B3"/>
    <w:rsid w:val="00C76294"/>
    <w:rsid w:val="00C76615"/>
    <w:rsid w:val="00C7666B"/>
    <w:rsid w:val="00C769B1"/>
    <w:rsid w:val="00C76A19"/>
    <w:rsid w:val="00C76BDC"/>
    <w:rsid w:val="00C76BFC"/>
    <w:rsid w:val="00C76CA9"/>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68A"/>
    <w:rsid w:val="00C84716"/>
    <w:rsid w:val="00C8489C"/>
    <w:rsid w:val="00C84B9F"/>
    <w:rsid w:val="00C84EDF"/>
    <w:rsid w:val="00C854F3"/>
    <w:rsid w:val="00C8554E"/>
    <w:rsid w:val="00C85A8A"/>
    <w:rsid w:val="00C85C34"/>
    <w:rsid w:val="00C85E53"/>
    <w:rsid w:val="00C86031"/>
    <w:rsid w:val="00C860E4"/>
    <w:rsid w:val="00C86960"/>
    <w:rsid w:val="00C86D51"/>
    <w:rsid w:val="00C871E5"/>
    <w:rsid w:val="00C8725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2CD0"/>
    <w:rsid w:val="00CA31AC"/>
    <w:rsid w:val="00CA333B"/>
    <w:rsid w:val="00CA3698"/>
    <w:rsid w:val="00CA37EF"/>
    <w:rsid w:val="00CA3BB0"/>
    <w:rsid w:val="00CA3CC1"/>
    <w:rsid w:val="00CA3EF3"/>
    <w:rsid w:val="00CA4422"/>
    <w:rsid w:val="00CA46CF"/>
    <w:rsid w:val="00CA46D9"/>
    <w:rsid w:val="00CA47F0"/>
    <w:rsid w:val="00CA4D0F"/>
    <w:rsid w:val="00CA4F66"/>
    <w:rsid w:val="00CA510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977"/>
    <w:rsid w:val="00CB4EFA"/>
    <w:rsid w:val="00CB51F8"/>
    <w:rsid w:val="00CB55BA"/>
    <w:rsid w:val="00CB59C1"/>
    <w:rsid w:val="00CB5BF0"/>
    <w:rsid w:val="00CB62E1"/>
    <w:rsid w:val="00CB6317"/>
    <w:rsid w:val="00CB631C"/>
    <w:rsid w:val="00CB634F"/>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4A1"/>
    <w:rsid w:val="00CC6F30"/>
    <w:rsid w:val="00CC6FF1"/>
    <w:rsid w:val="00CC7024"/>
    <w:rsid w:val="00CC7105"/>
    <w:rsid w:val="00CC74A7"/>
    <w:rsid w:val="00CC74E9"/>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5CA"/>
    <w:rsid w:val="00CD2A12"/>
    <w:rsid w:val="00CD2E82"/>
    <w:rsid w:val="00CD2F9D"/>
    <w:rsid w:val="00CD30D1"/>
    <w:rsid w:val="00CD313B"/>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3AA"/>
    <w:rsid w:val="00CE1492"/>
    <w:rsid w:val="00CE1864"/>
    <w:rsid w:val="00CE1BC7"/>
    <w:rsid w:val="00CE229D"/>
    <w:rsid w:val="00CE2547"/>
    <w:rsid w:val="00CE25A3"/>
    <w:rsid w:val="00CE27A2"/>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5F94"/>
    <w:rsid w:val="00CE60E7"/>
    <w:rsid w:val="00CE617B"/>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54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13"/>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0EEE"/>
    <w:rsid w:val="00D01388"/>
    <w:rsid w:val="00D019BC"/>
    <w:rsid w:val="00D01A0C"/>
    <w:rsid w:val="00D01AC3"/>
    <w:rsid w:val="00D01B9A"/>
    <w:rsid w:val="00D01BF0"/>
    <w:rsid w:val="00D01E93"/>
    <w:rsid w:val="00D01FAD"/>
    <w:rsid w:val="00D025A6"/>
    <w:rsid w:val="00D02609"/>
    <w:rsid w:val="00D02681"/>
    <w:rsid w:val="00D029C3"/>
    <w:rsid w:val="00D02C56"/>
    <w:rsid w:val="00D03093"/>
    <w:rsid w:val="00D030AA"/>
    <w:rsid w:val="00D031B2"/>
    <w:rsid w:val="00D0376D"/>
    <w:rsid w:val="00D0390B"/>
    <w:rsid w:val="00D0391A"/>
    <w:rsid w:val="00D039FD"/>
    <w:rsid w:val="00D03D28"/>
    <w:rsid w:val="00D03DD1"/>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167"/>
    <w:rsid w:val="00D0743E"/>
    <w:rsid w:val="00D076D4"/>
    <w:rsid w:val="00D077C7"/>
    <w:rsid w:val="00D07941"/>
    <w:rsid w:val="00D07B31"/>
    <w:rsid w:val="00D07D47"/>
    <w:rsid w:val="00D07F46"/>
    <w:rsid w:val="00D10225"/>
    <w:rsid w:val="00D1030C"/>
    <w:rsid w:val="00D1050C"/>
    <w:rsid w:val="00D10619"/>
    <w:rsid w:val="00D10CC5"/>
    <w:rsid w:val="00D10D96"/>
    <w:rsid w:val="00D11041"/>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A6F"/>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31"/>
    <w:rsid w:val="00D22A50"/>
    <w:rsid w:val="00D22A9D"/>
    <w:rsid w:val="00D22CC3"/>
    <w:rsid w:val="00D22EE5"/>
    <w:rsid w:val="00D230E2"/>
    <w:rsid w:val="00D23159"/>
    <w:rsid w:val="00D235E8"/>
    <w:rsid w:val="00D23969"/>
    <w:rsid w:val="00D239C5"/>
    <w:rsid w:val="00D23E15"/>
    <w:rsid w:val="00D23EB8"/>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6F1"/>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6C75"/>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428"/>
    <w:rsid w:val="00D42578"/>
    <w:rsid w:val="00D425A9"/>
    <w:rsid w:val="00D427FF"/>
    <w:rsid w:val="00D42B01"/>
    <w:rsid w:val="00D42C66"/>
    <w:rsid w:val="00D42D3F"/>
    <w:rsid w:val="00D433E4"/>
    <w:rsid w:val="00D4379D"/>
    <w:rsid w:val="00D4394A"/>
    <w:rsid w:val="00D43B58"/>
    <w:rsid w:val="00D43C4D"/>
    <w:rsid w:val="00D43F7D"/>
    <w:rsid w:val="00D44108"/>
    <w:rsid w:val="00D441D3"/>
    <w:rsid w:val="00D44485"/>
    <w:rsid w:val="00D44715"/>
    <w:rsid w:val="00D447F6"/>
    <w:rsid w:val="00D44A06"/>
    <w:rsid w:val="00D44BAA"/>
    <w:rsid w:val="00D453FC"/>
    <w:rsid w:val="00D454DB"/>
    <w:rsid w:val="00D457F6"/>
    <w:rsid w:val="00D45891"/>
    <w:rsid w:val="00D45DC2"/>
    <w:rsid w:val="00D4647A"/>
    <w:rsid w:val="00D46643"/>
    <w:rsid w:val="00D466A0"/>
    <w:rsid w:val="00D46A13"/>
    <w:rsid w:val="00D46BCB"/>
    <w:rsid w:val="00D46BDE"/>
    <w:rsid w:val="00D46F55"/>
    <w:rsid w:val="00D47039"/>
    <w:rsid w:val="00D4727B"/>
    <w:rsid w:val="00D4730E"/>
    <w:rsid w:val="00D474C3"/>
    <w:rsid w:val="00D47505"/>
    <w:rsid w:val="00D4755F"/>
    <w:rsid w:val="00D4793A"/>
    <w:rsid w:val="00D4799B"/>
    <w:rsid w:val="00D47B37"/>
    <w:rsid w:val="00D47BEF"/>
    <w:rsid w:val="00D47E51"/>
    <w:rsid w:val="00D47F7D"/>
    <w:rsid w:val="00D500E8"/>
    <w:rsid w:val="00D5029A"/>
    <w:rsid w:val="00D503E7"/>
    <w:rsid w:val="00D50A00"/>
    <w:rsid w:val="00D50D04"/>
    <w:rsid w:val="00D50E43"/>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980"/>
    <w:rsid w:val="00D53C4F"/>
    <w:rsid w:val="00D53D0E"/>
    <w:rsid w:val="00D53F07"/>
    <w:rsid w:val="00D5446D"/>
    <w:rsid w:val="00D54833"/>
    <w:rsid w:val="00D549F5"/>
    <w:rsid w:val="00D549F9"/>
    <w:rsid w:val="00D54D4D"/>
    <w:rsid w:val="00D552E5"/>
    <w:rsid w:val="00D55448"/>
    <w:rsid w:val="00D55629"/>
    <w:rsid w:val="00D55696"/>
    <w:rsid w:val="00D557C1"/>
    <w:rsid w:val="00D55971"/>
    <w:rsid w:val="00D559C0"/>
    <w:rsid w:val="00D559CA"/>
    <w:rsid w:val="00D55BE1"/>
    <w:rsid w:val="00D55C53"/>
    <w:rsid w:val="00D561CF"/>
    <w:rsid w:val="00D564FA"/>
    <w:rsid w:val="00D5658C"/>
    <w:rsid w:val="00D56636"/>
    <w:rsid w:val="00D5670A"/>
    <w:rsid w:val="00D56729"/>
    <w:rsid w:val="00D56C57"/>
    <w:rsid w:val="00D56D23"/>
    <w:rsid w:val="00D56E40"/>
    <w:rsid w:val="00D57133"/>
    <w:rsid w:val="00D57225"/>
    <w:rsid w:val="00D5734E"/>
    <w:rsid w:val="00D57547"/>
    <w:rsid w:val="00D57611"/>
    <w:rsid w:val="00D57A15"/>
    <w:rsid w:val="00D57B26"/>
    <w:rsid w:val="00D57F43"/>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12E"/>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06"/>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86"/>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0ED"/>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34"/>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991"/>
    <w:rsid w:val="00D94AA2"/>
    <w:rsid w:val="00D94E32"/>
    <w:rsid w:val="00D95058"/>
    <w:rsid w:val="00D95192"/>
    <w:rsid w:val="00D95487"/>
    <w:rsid w:val="00D95675"/>
    <w:rsid w:val="00D95C0C"/>
    <w:rsid w:val="00D95C43"/>
    <w:rsid w:val="00D96119"/>
    <w:rsid w:val="00D963B1"/>
    <w:rsid w:val="00D96509"/>
    <w:rsid w:val="00D967E1"/>
    <w:rsid w:val="00D9697E"/>
    <w:rsid w:val="00D96FED"/>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6F40"/>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2DAD"/>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AE"/>
    <w:rsid w:val="00DC0536"/>
    <w:rsid w:val="00DC0624"/>
    <w:rsid w:val="00DC0736"/>
    <w:rsid w:val="00DC09F7"/>
    <w:rsid w:val="00DC0A0D"/>
    <w:rsid w:val="00DC0B82"/>
    <w:rsid w:val="00DC0C26"/>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2E6D"/>
    <w:rsid w:val="00DC3262"/>
    <w:rsid w:val="00DC3439"/>
    <w:rsid w:val="00DC34BE"/>
    <w:rsid w:val="00DC35CE"/>
    <w:rsid w:val="00DC36ED"/>
    <w:rsid w:val="00DC3C50"/>
    <w:rsid w:val="00DC3E33"/>
    <w:rsid w:val="00DC41A8"/>
    <w:rsid w:val="00DC4229"/>
    <w:rsid w:val="00DC46C8"/>
    <w:rsid w:val="00DC474B"/>
    <w:rsid w:val="00DC4980"/>
    <w:rsid w:val="00DC51DF"/>
    <w:rsid w:val="00DC53D9"/>
    <w:rsid w:val="00DC540A"/>
    <w:rsid w:val="00DC56A4"/>
    <w:rsid w:val="00DC5853"/>
    <w:rsid w:val="00DC5863"/>
    <w:rsid w:val="00DC592B"/>
    <w:rsid w:val="00DC59D7"/>
    <w:rsid w:val="00DC5BF8"/>
    <w:rsid w:val="00DC5DDA"/>
    <w:rsid w:val="00DC6080"/>
    <w:rsid w:val="00DC63BB"/>
    <w:rsid w:val="00DC63E3"/>
    <w:rsid w:val="00DC6564"/>
    <w:rsid w:val="00DC6831"/>
    <w:rsid w:val="00DC690C"/>
    <w:rsid w:val="00DC6BED"/>
    <w:rsid w:val="00DC6DDE"/>
    <w:rsid w:val="00DC7284"/>
    <w:rsid w:val="00DC72A8"/>
    <w:rsid w:val="00DC75A2"/>
    <w:rsid w:val="00DC793B"/>
    <w:rsid w:val="00DC79B5"/>
    <w:rsid w:val="00DC7A92"/>
    <w:rsid w:val="00DC7B54"/>
    <w:rsid w:val="00DC7CAE"/>
    <w:rsid w:val="00DD009F"/>
    <w:rsid w:val="00DD014C"/>
    <w:rsid w:val="00DD0550"/>
    <w:rsid w:val="00DD0605"/>
    <w:rsid w:val="00DD06F3"/>
    <w:rsid w:val="00DD0C4B"/>
    <w:rsid w:val="00DD0DE8"/>
    <w:rsid w:val="00DD0FCC"/>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BD7"/>
    <w:rsid w:val="00DD6F96"/>
    <w:rsid w:val="00DD6F9E"/>
    <w:rsid w:val="00DD6FB1"/>
    <w:rsid w:val="00DD74F8"/>
    <w:rsid w:val="00DD7818"/>
    <w:rsid w:val="00DE027D"/>
    <w:rsid w:val="00DE0749"/>
    <w:rsid w:val="00DE08CC"/>
    <w:rsid w:val="00DE0B62"/>
    <w:rsid w:val="00DE0C45"/>
    <w:rsid w:val="00DE1183"/>
    <w:rsid w:val="00DE1311"/>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999"/>
    <w:rsid w:val="00DF19AC"/>
    <w:rsid w:val="00DF20E3"/>
    <w:rsid w:val="00DF212F"/>
    <w:rsid w:val="00DF25BA"/>
    <w:rsid w:val="00DF27BE"/>
    <w:rsid w:val="00DF2927"/>
    <w:rsid w:val="00DF29DE"/>
    <w:rsid w:val="00DF2A59"/>
    <w:rsid w:val="00DF2B23"/>
    <w:rsid w:val="00DF2C5E"/>
    <w:rsid w:val="00DF2CBD"/>
    <w:rsid w:val="00DF2DB2"/>
    <w:rsid w:val="00DF2EB7"/>
    <w:rsid w:val="00DF2EFE"/>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0F9"/>
    <w:rsid w:val="00DF5179"/>
    <w:rsid w:val="00DF5BB7"/>
    <w:rsid w:val="00DF5BFF"/>
    <w:rsid w:val="00DF5C15"/>
    <w:rsid w:val="00DF5F78"/>
    <w:rsid w:val="00DF6089"/>
    <w:rsid w:val="00DF6149"/>
    <w:rsid w:val="00DF6615"/>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D71"/>
    <w:rsid w:val="00E00FE0"/>
    <w:rsid w:val="00E01102"/>
    <w:rsid w:val="00E011AD"/>
    <w:rsid w:val="00E0135B"/>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2F90"/>
    <w:rsid w:val="00E2306E"/>
    <w:rsid w:val="00E23087"/>
    <w:rsid w:val="00E232D1"/>
    <w:rsid w:val="00E234BB"/>
    <w:rsid w:val="00E235CF"/>
    <w:rsid w:val="00E23770"/>
    <w:rsid w:val="00E2399D"/>
    <w:rsid w:val="00E239C5"/>
    <w:rsid w:val="00E23D2F"/>
    <w:rsid w:val="00E23F47"/>
    <w:rsid w:val="00E23F88"/>
    <w:rsid w:val="00E23FC8"/>
    <w:rsid w:val="00E24718"/>
    <w:rsid w:val="00E24812"/>
    <w:rsid w:val="00E24939"/>
    <w:rsid w:val="00E249CE"/>
    <w:rsid w:val="00E24B33"/>
    <w:rsid w:val="00E24B97"/>
    <w:rsid w:val="00E24BEC"/>
    <w:rsid w:val="00E24C5E"/>
    <w:rsid w:val="00E24DDF"/>
    <w:rsid w:val="00E24EC4"/>
    <w:rsid w:val="00E2512A"/>
    <w:rsid w:val="00E251F8"/>
    <w:rsid w:val="00E2538D"/>
    <w:rsid w:val="00E25492"/>
    <w:rsid w:val="00E25D6B"/>
    <w:rsid w:val="00E25E9C"/>
    <w:rsid w:val="00E25ED8"/>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DE0"/>
    <w:rsid w:val="00E32F9C"/>
    <w:rsid w:val="00E33150"/>
    <w:rsid w:val="00E333EF"/>
    <w:rsid w:val="00E336D3"/>
    <w:rsid w:val="00E3382C"/>
    <w:rsid w:val="00E339A0"/>
    <w:rsid w:val="00E33D57"/>
    <w:rsid w:val="00E3411A"/>
    <w:rsid w:val="00E3424C"/>
    <w:rsid w:val="00E34522"/>
    <w:rsid w:val="00E34AAB"/>
    <w:rsid w:val="00E34D0D"/>
    <w:rsid w:val="00E34FCF"/>
    <w:rsid w:val="00E3505A"/>
    <w:rsid w:val="00E3521E"/>
    <w:rsid w:val="00E3526B"/>
    <w:rsid w:val="00E352FB"/>
    <w:rsid w:val="00E353ED"/>
    <w:rsid w:val="00E3570C"/>
    <w:rsid w:val="00E35810"/>
    <w:rsid w:val="00E358AE"/>
    <w:rsid w:val="00E35977"/>
    <w:rsid w:val="00E35B56"/>
    <w:rsid w:val="00E35C6F"/>
    <w:rsid w:val="00E35D88"/>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4DB"/>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E1"/>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06"/>
    <w:rsid w:val="00E5502E"/>
    <w:rsid w:val="00E55495"/>
    <w:rsid w:val="00E55B9B"/>
    <w:rsid w:val="00E55F31"/>
    <w:rsid w:val="00E560B5"/>
    <w:rsid w:val="00E560DF"/>
    <w:rsid w:val="00E5633B"/>
    <w:rsid w:val="00E56488"/>
    <w:rsid w:val="00E56549"/>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A48"/>
    <w:rsid w:val="00E61D4C"/>
    <w:rsid w:val="00E61DE6"/>
    <w:rsid w:val="00E61EDC"/>
    <w:rsid w:val="00E61EE4"/>
    <w:rsid w:val="00E620DE"/>
    <w:rsid w:val="00E621FF"/>
    <w:rsid w:val="00E62439"/>
    <w:rsid w:val="00E62683"/>
    <w:rsid w:val="00E62687"/>
    <w:rsid w:val="00E62A8E"/>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D05"/>
    <w:rsid w:val="00E71DD7"/>
    <w:rsid w:val="00E71EF4"/>
    <w:rsid w:val="00E721BB"/>
    <w:rsid w:val="00E72392"/>
    <w:rsid w:val="00E726B5"/>
    <w:rsid w:val="00E7271B"/>
    <w:rsid w:val="00E72764"/>
    <w:rsid w:val="00E72898"/>
    <w:rsid w:val="00E72985"/>
    <w:rsid w:val="00E72CA9"/>
    <w:rsid w:val="00E72D0D"/>
    <w:rsid w:val="00E72DD1"/>
    <w:rsid w:val="00E72DF1"/>
    <w:rsid w:val="00E72F05"/>
    <w:rsid w:val="00E72F15"/>
    <w:rsid w:val="00E72F8B"/>
    <w:rsid w:val="00E73052"/>
    <w:rsid w:val="00E73105"/>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125"/>
    <w:rsid w:val="00E77495"/>
    <w:rsid w:val="00E7762A"/>
    <w:rsid w:val="00E77AB6"/>
    <w:rsid w:val="00E77FBE"/>
    <w:rsid w:val="00E80015"/>
    <w:rsid w:val="00E8038D"/>
    <w:rsid w:val="00E803B7"/>
    <w:rsid w:val="00E805C5"/>
    <w:rsid w:val="00E80867"/>
    <w:rsid w:val="00E80A9B"/>
    <w:rsid w:val="00E80D1A"/>
    <w:rsid w:val="00E80D5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5DA"/>
    <w:rsid w:val="00E83770"/>
    <w:rsid w:val="00E83837"/>
    <w:rsid w:val="00E8390F"/>
    <w:rsid w:val="00E83A0F"/>
    <w:rsid w:val="00E83E9C"/>
    <w:rsid w:val="00E8402B"/>
    <w:rsid w:val="00E840D0"/>
    <w:rsid w:val="00E84201"/>
    <w:rsid w:val="00E84272"/>
    <w:rsid w:val="00E842D2"/>
    <w:rsid w:val="00E842DB"/>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0DB"/>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2"/>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54"/>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487"/>
    <w:rsid w:val="00EC6747"/>
    <w:rsid w:val="00EC6763"/>
    <w:rsid w:val="00EC678F"/>
    <w:rsid w:val="00EC6AAC"/>
    <w:rsid w:val="00EC6C54"/>
    <w:rsid w:val="00EC6E9E"/>
    <w:rsid w:val="00EC6ED9"/>
    <w:rsid w:val="00EC70DE"/>
    <w:rsid w:val="00EC7188"/>
    <w:rsid w:val="00EC74A5"/>
    <w:rsid w:val="00EC7643"/>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12"/>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A09"/>
    <w:rsid w:val="00ED6B12"/>
    <w:rsid w:val="00ED6C87"/>
    <w:rsid w:val="00ED6CAF"/>
    <w:rsid w:val="00ED6CB3"/>
    <w:rsid w:val="00ED6FCD"/>
    <w:rsid w:val="00ED7005"/>
    <w:rsid w:val="00ED714D"/>
    <w:rsid w:val="00ED7353"/>
    <w:rsid w:val="00ED737C"/>
    <w:rsid w:val="00ED76A1"/>
    <w:rsid w:val="00ED77A6"/>
    <w:rsid w:val="00ED7A7B"/>
    <w:rsid w:val="00ED7CBB"/>
    <w:rsid w:val="00ED7CF1"/>
    <w:rsid w:val="00EE0152"/>
    <w:rsid w:val="00EE0542"/>
    <w:rsid w:val="00EE0815"/>
    <w:rsid w:val="00EE0B19"/>
    <w:rsid w:val="00EE0B61"/>
    <w:rsid w:val="00EE0B72"/>
    <w:rsid w:val="00EE0F04"/>
    <w:rsid w:val="00EE0F4D"/>
    <w:rsid w:val="00EE0FA1"/>
    <w:rsid w:val="00EE109E"/>
    <w:rsid w:val="00EE1124"/>
    <w:rsid w:val="00EE17C9"/>
    <w:rsid w:val="00EE187A"/>
    <w:rsid w:val="00EE1D72"/>
    <w:rsid w:val="00EE2092"/>
    <w:rsid w:val="00EE225C"/>
    <w:rsid w:val="00EE28F8"/>
    <w:rsid w:val="00EE2AEC"/>
    <w:rsid w:val="00EE3064"/>
    <w:rsid w:val="00EE335F"/>
    <w:rsid w:val="00EE3470"/>
    <w:rsid w:val="00EE3506"/>
    <w:rsid w:val="00EE3A5C"/>
    <w:rsid w:val="00EE3CB5"/>
    <w:rsid w:val="00EE3F8A"/>
    <w:rsid w:val="00EE42C6"/>
    <w:rsid w:val="00EE44B2"/>
    <w:rsid w:val="00EE474B"/>
    <w:rsid w:val="00EE477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998"/>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3FC"/>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6C13"/>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D82"/>
    <w:rsid w:val="00F01DA2"/>
    <w:rsid w:val="00F01F30"/>
    <w:rsid w:val="00F01FC3"/>
    <w:rsid w:val="00F02183"/>
    <w:rsid w:val="00F0218B"/>
    <w:rsid w:val="00F02935"/>
    <w:rsid w:val="00F02949"/>
    <w:rsid w:val="00F02CCC"/>
    <w:rsid w:val="00F033CA"/>
    <w:rsid w:val="00F0369D"/>
    <w:rsid w:val="00F0377C"/>
    <w:rsid w:val="00F03A9B"/>
    <w:rsid w:val="00F03B46"/>
    <w:rsid w:val="00F03BEF"/>
    <w:rsid w:val="00F03DC7"/>
    <w:rsid w:val="00F04287"/>
    <w:rsid w:val="00F04609"/>
    <w:rsid w:val="00F0473C"/>
    <w:rsid w:val="00F047C7"/>
    <w:rsid w:val="00F04C96"/>
    <w:rsid w:val="00F0500C"/>
    <w:rsid w:val="00F052F0"/>
    <w:rsid w:val="00F0538B"/>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0C5"/>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A00"/>
    <w:rsid w:val="00F14C06"/>
    <w:rsid w:val="00F14E45"/>
    <w:rsid w:val="00F14FFF"/>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10"/>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A85"/>
    <w:rsid w:val="00F22CAD"/>
    <w:rsid w:val="00F22D71"/>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E1"/>
    <w:rsid w:val="00F266F4"/>
    <w:rsid w:val="00F26823"/>
    <w:rsid w:val="00F26A52"/>
    <w:rsid w:val="00F26E9E"/>
    <w:rsid w:val="00F2758A"/>
    <w:rsid w:val="00F2792C"/>
    <w:rsid w:val="00F27AA2"/>
    <w:rsid w:val="00F27AC7"/>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C64"/>
    <w:rsid w:val="00F33CC5"/>
    <w:rsid w:val="00F33E3D"/>
    <w:rsid w:val="00F34372"/>
    <w:rsid w:val="00F34BBD"/>
    <w:rsid w:val="00F34D39"/>
    <w:rsid w:val="00F34DEC"/>
    <w:rsid w:val="00F35241"/>
    <w:rsid w:val="00F3560C"/>
    <w:rsid w:val="00F35910"/>
    <w:rsid w:val="00F359F4"/>
    <w:rsid w:val="00F35B07"/>
    <w:rsid w:val="00F35BEF"/>
    <w:rsid w:val="00F35E10"/>
    <w:rsid w:val="00F35E96"/>
    <w:rsid w:val="00F3606C"/>
    <w:rsid w:val="00F36209"/>
    <w:rsid w:val="00F364E7"/>
    <w:rsid w:val="00F367AB"/>
    <w:rsid w:val="00F36D9F"/>
    <w:rsid w:val="00F371B7"/>
    <w:rsid w:val="00F377C5"/>
    <w:rsid w:val="00F37811"/>
    <w:rsid w:val="00F37A0C"/>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AF"/>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B8"/>
    <w:rsid w:val="00F44ECA"/>
    <w:rsid w:val="00F44FBE"/>
    <w:rsid w:val="00F45185"/>
    <w:rsid w:val="00F451F3"/>
    <w:rsid w:val="00F45224"/>
    <w:rsid w:val="00F45D66"/>
    <w:rsid w:val="00F46014"/>
    <w:rsid w:val="00F46125"/>
    <w:rsid w:val="00F46177"/>
    <w:rsid w:val="00F461F6"/>
    <w:rsid w:val="00F4623C"/>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47E24"/>
    <w:rsid w:val="00F50109"/>
    <w:rsid w:val="00F5025B"/>
    <w:rsid w:val="00F50338"/>
    <w:rsid w:val="00F506C6"/>
    <w:rsid w:val="00F50A5C"/>
    <w:rsid w:val="00F50D7C"/>
    <w:rsid w:val="00F5121D"/>
    <w:rsid w:val="00F51393"/>
    <w:rsid w:val="00F516C5"/>
    <w:rsid w:val="00F51BCE"/>
    <w:rsid w:val="00F51BF4"/>
    <w:rsid w:val="00F51E85"/>
    <w:rsid w:val="00F52038"/>
    <w:rsid w:val="00F521AF"/>
    <w:rsid w:val="00F5221A"/>
    <w:rsid w:val="00F52407"/>
    <w:rsid w:val="00F5276F"/>
    <w:rsid w:val="00F527DD"/>
    <w:rsid w:val="00F528B2"/>
    <w:rsid w:val="00F52B51"/>
    <w:rsid w:val="00F52CC9"/>
    <w:rsid w:val="00F52E24"/>
    <w:rsid w:val="00F53170"/>
    <w:rsid w:val="00F531B2"/>
    <w:rsid w:val="00F5330C"/>
    <w:rsid w:val="00F536A8"/>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14D"/>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34"/>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898"/>
    <w:rsid w:val="00F81FBE"/>
    <w:rsid w:val="00F825D3"/>
    <w:rsid w:val="00F827E3"/>
    <w:rsid w:val="00F82825"/>
    <w:rsid w:val="00F82A05"/>
    <w:rsid w:val="00F82A4F"/>
    <w:rsid w:val="00F82A68"/>
    <w:rsid w:val="00F82D86"/>
    <w:rsid w:val="00F82E09"/>
    <w:rsid w:val="00F82F2C"/>
    <w:rsid w:val="00F82FC4"/>
    <w:rsid w:val="00F8323D"/>
    <w:rsid w:val="00F832DB"/>
    <w:rsid w:val="00F834DC"/>
    <w:rsid w:val="00F835CF"/>
    <w:rsid w:val="00F83845"/>
    <w:rsid w:val="00F83B17"/>
    <w:rsid w:val="00F83C4D"/>
    <w:rsid w:val="00F83D5A"/>
    <w:rsid w:val="00F83ECA"/>
    <w:rsid w:val="00F84129"/>
    <w:rsid w:val="00F8487C"/>
    <w:rsid w:val="00F848D9"/>
    <w:rsid w:val="00F84D5A"/>
    <w:rsid w:val="00F85361"/>
    <w:rsid w:val="00F85418"/>
    <w:rsid w:val="00F8549A"/>
    <w:rsid w:val="00F854C6"/>
    <w:rsid w:val="00F855EF"/>
    <w:rsid w:val="00F85675"/>
    <w:rsid w:val="00F85B7C"/>
    <w:rsid w:val="00F8603F"/>
    <w:rsid w:val="00F861DF"/>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8D2"/>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678"/>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E5E"/>
    <w:rsid w:val="00F96EA9"/>
    <w:rsid w:val="00F96F30"/>
    <w:rsid w:val="00F972FC"/>
    <w:rsid w:val="00F977B5"/>
    <w:rsid w:val="00F97AFF"/>
    <w:rsid w:val="00F97B04"/>
    <w:rsid w:val="00FA0133"/>
    <w:rsid w:val="00FA0405"/>
    <w:rsid w:val="00FA04B4"/>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736"/>
    <w:rsid w:val="00FA3814"/>
    <w:rsid w:val="00FA3912"/>
    <w:rsid w:val="00FA391A"/>
    <w:rsid w:val="00FA3BCF"/>
    <w:rsid w:val="00FA3F5C"/>
    <w:rsid w:val="00FA406F"/>
    <w:rsid w:val="00FA468F"/>
    <w:rsid w:val="00FA4B83"/>
    <w:rsid w:val="00FA4BB6"/>
    <w:rsid w:val="00FA5133"/>
    <w:rsid w:val="00FA5256"/>
    <w:rsid w:val="00FA53B1"/>
    <w:rsid w:val="00FA54E9"/>
    <w:rsid w:val="00FA5C1D"/>
    <w:rsid w:val="00FA6026"/>
    <w:rsid w:val="00FA6145"/>
    <w:rsid w:val="00FA6679"/>
    <w:rsid w:val="00FA6734"/>
    <w:rsid w:val="00FA6B0D"/>
    <w:rsid w:val="00FA6C85"/>
    <w:rsid w:val="00FA6E14"/>
    <w:rsid w:val="00FA6F35"/>
    <w:rsid w:val="00FA7008"/>
    <w:rsid w:val="00FA7357"/>
    <w:rsid w:val="00FA739C"/>
    <w:rsid w:val="00FA7463"/>
    <w:rsid w:val="00FA788E"/>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34F"/>
    <w:rsid w:val="00FB646D"/>
    <w:rsid w:val="00FB65B8"/>
    <w:rsid w:val="00FB6909"/>
    <w:rsid w:val="00FB6C71"/>
    <w:rsid w:val="00FB6EF8"/>
    <w:rsid w:val="00FB6FA1"/>
    <w:rsid w:val="00FB7425"/>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DF5"/>
    <w:rsid w:val="00FD12BB"/>
    <w:rsid w:val="00FD13B3"/>
    <w:rsid w:val="00FD13CD"/>
    <w:rsid w:val="00FD1D82"/>
    <w:rsid w:val="00FD1E48"/>
    <w:rsid w:val="00FD21B1"/>
    <w:rsid w:val="00FD2244"/>
    <w:rsid w:val="00FD224D"/>
    <w:rsid w:val="00FD2726"/>
    <w:rsid w:val="00FD29DE"/>
    <w:rsid w:val="00FD2A48"/>
    <w:rsid w:val="00FD2A81"/>
    <w:rsid w:val="00FD2AD8"/>
    <w:rsid w:val="00FD2B1F"/>
    <w:rsid w:val="00FD2C2A"/>
    <w:rsid w:val="00FD2CFC"/>
    <w:rsid w:val="00FD2DD2"/>
    <w:rsid w:val="00FD2E8D"/>
    <w:rsid w:val="00FD34EC"/>
    <w:rsid w:val="00FD36D5"/>
    <w:rsid w:val="00FD370D"/>
    <w:rsid w:val="00FD3B21"/>
    <w:rsid w:val="00FD3B28"/>
    <w:rsid w:val="00FD3B55"/>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B14"/>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0B2"/>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27C"/>
    <w:rsid w:val="00FF34DD"/>
    <w:rsid w:val="00FF38BF"/>
    <w:rsid w:val="00FF3FC1"/>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9B7E69"/>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74609"/>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35AE4"/>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73E8E"/>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707FB"/>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574F8"/>
    <w:rsid w:val="05A85F76"/>
    <w:rsid w:val="05AC3CD4"/>
    <w:rsid w:val="05AE02AC"/>
    <w:rsid w:val="05AF0975"/>
    <w:rsid w:val="05AF3B52"/>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17BCB"/>
    <w:rsid w:val="06236F2E"/>
    <w:rsid w:val="062671C4"/>
    <w:rsid w:val="062750DC"/>
    <w:rsid w:val="062C5BDF"/>
    <w:rsid w:val="062D0004"/>
    <w:rsid w:val="062D1201"/>
    <w:rsid w:val="062D4104"/>
    <w:rsid w:val="062F5DFD"/>
    <w:rsid w:val="06303A88"/>
    <w:rsid w:val="0632752A"/>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CC1DB5"/>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A60"/>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D2800"/>
    <w:rsid w:val="08FF0667"/>
    <w:rsid w:val="09011059"/>
    <w:rsid w:val="090229ED"/>
    <w:rsid w:val="09033CCF"/>
    <w:rsid w:val="090476FB"/>
    <w:rsid w:val="0905080E"/>
    <w:rsid w:val="0905247A"/>
    <w:rsid w:val="09056D6C"/>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13DB7"/>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67149"/>
    <w:rsid w:val="0A4A7325"/>
    <w:rsid w:val="0A4B759E"/>
    <w:rsid w:val="0A540C8C"/>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AE0569"/>
    <w:rsid w:val="0AB12265"/>
    <w:rsid w:val="0AB7726A"/>
    <w:rsid w:val="0AB80BC9"/>
    <w:rsid w:val="0ABA06F0"/>
    <w:rsid w:val="0ABA52E8"/>
    <w:rsid w:val="0ABE7BB8"/>
    <w:rsid w:val="0ABF6B82"/>
    <w:rsid w:val="0AC42A22"/>
    <w:rsid w:val="0AC8144F"/>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2D3C"/>
    <w:rsid w:val="0D1F5FE0"/>
    <w:rsid w:val="0D292186"/>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37D69"/>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66FA6"/>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30A50"/>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64404"/>
    <w:rsid w:val="13A831CD"/>
    <w:rsid w:val="13AA1B19"/>
    <w:rsid w:val="13AD64C6"/>
    <w:rsid w:val="13B029C9"/>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636B7"/>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80263"/>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762F4"/>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D7FB3"/>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6C2"/>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24AC0"/>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33415"/>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37D97"/>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E4F8A"/>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0F39CD"/>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A08C4"/>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0AF0"/>
    <w:rsid w:val="1F313C25"/>
    <w:rsid w:val="1F37188E"/>
    <w:rsid w:val="1F3825EC"/>
    <w:rsid w:val="1F3956A4"/>
    <w:rsid w:val="1F3A7AF6"/>
    <w:rsid w:val="1F3C0A66"/>
    <w:rsid w:val="1F3C7DAD"/>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23873"/>
    <w:rsid w:val="20B40881"/>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B3427"/>
    <w:rsid w:val="225C0582"/>
    <w:rsid w:val="225C4BA6"/>
    <w:rsid w:val="225F2091"/>
    <w:rsid w:val="22624072"/>
    <w:rsid w:val="22652BE8"/>
    <w:rsid w:val="22656D5E"/>
    <w:rsid w:val="226673BC"/>
    <w:rsid w:val="2268179B"/>
    <w:rsid w:val="2269234C"/>
    <w:rsid w:val="226A7A21"/>
    <w:rsid w:val="226D1707"/>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14471"/>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632C6"/>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623CA"/>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3CBA"/>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C23EE"/>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13485"/>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B12C6"/>
    <w:rsid w:val="27FE4675"/>
    <w:rsid w:val="27FE4D9C"/>
    <w:rsid w:val="27FF1453"/>
    <w:rsid w:val="27FF37CD"/>
    <w:rsid w:val="27FF51F3"/>
    <w:rsid w:val="28003F0B"/>
    <w:rsid w:val="280564E5"/>
    <w:rsid w:val="28070001"/>
    <w:rsid w:val="28083688"/>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7D327A"/>
    <w:rsid w:val="2885175B"/>
    <w:rsid w:val="28877C5E"/>
    <w:rsid w:val="2888118C"/>
    <w:rsid w:val="28882616"/>
    <w:rsid w:val="28925DD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02FC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296D"/>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5BB1"/>
    <w:rsid w:val="2BC47CBF"/>
    <w:rsid w:val="2BC66911"/>
    <w:rsid w:val="2BCB34B7"/>
    <w:rsid w:val="2BCC3285"/>
    <w:rsid w:val="2BCC4FF6"/>
    <w:rsid w:val="2BCC67CC"/>
    <w:rsid w:val="2BCF3038"/>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A477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73B05"/>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55FDE"/>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2FFF14C0"/>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46E81"/>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41D3"/>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A0F70"/>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709CA"/>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30DAD"/>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94FA3"/>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0600B"/>
    <w:rsid w:val="35A44B3D"/>
    <w:rsid w:val="35A50703"/>
    <w:rsid w:val="35A56FF2"/>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1F69"/>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A10D3"/>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098"/>
    <w:rsid w:val="393373A1"/>
    <w:rsid w:val="39347E12"/>
    <w:rsid w:val="39361603"/>
    <w:rsid w:val="39362A9C"/>
    <w:rsid w:val="393825C4"/>
    <w:rsid w:val="3938585B"/>
    <w:rsid w:val="393B0118"/>
    <w:rsid w:val="393E399D"/>
    <w:rsid w:val="393F4A55"/>
    <w:rsid w:val="394367AC"/>
    <w:rsid w:val="39471139"/>
    <w:rsid w:val="39485F98"/>
    <w:rsid w:val="39491E27"/>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57E6"/>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2E5D4C"/>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30A05"/>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51C39"/>
    <w:rsid w:val="3CD86787"/>
    <w:rsid w:val="3CDA647B"/>
    <w:rsid w:val="3CDE3DFA"/>
    <w:rsid w:val="3CE04A45"/>
    <w:rsid w:val="3CE06825"/>
    <w:rsid w:val="3CE22769"/>
    <w:rsid w:val="3CE3559C"/>
    <w:rsid w:val="3CE4556F"/>
    <w:rsid w:val="3CE578FF"/>
    <w:rsid w:val="3CE777DA"/>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E7CA0"/>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9621D"/>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62AE7"/>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242D"/>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13EAB"/>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55C75"/>
    <w:rsid w:val="43162980"/>
    <w:rsid w:val="431A1505"/>
    <w:rsid w:val="431A352B"/>
    <w:rsid w:val="431B0884"/>
    <w:rsid w:val="431C5A07"/>
    <w:rsid w:val="43227D85"/>
    <w:rsid w:val="43232324"/>
    <w:rsid w:val="43240EE6"/>
    <w:rsid w:val="43281ABA"/>
    <w:rsid w:val="4328604B"/>
    <w:rsid w:val="43290401"/>
    <w:rsid w:val="432A3AD7"/>
    <w:rsid w:val="432B46D7"/>
    <w:rsid w:val="432C6DC6"/>
    <w:rsid w:val="432E7390"/>
    <w:rsid w:val="432E747F"/>
    <w:rsid w:val="4332664E"/>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23F4B"/>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56730"/>
    <w:rsid w:val="43B66DF2"/>
    <w:rsid w:val="43BE5957"/>
    <w:rsid w:val="43BF2D22"/>
    <w:rsid w:val="43C058CC"/>
    <w:rsid w:val="43C57353"/>
    <w:rsid w:val="43C73F0C"/>
    <w:rsid w:val="43C81533"/>
    <w:rsid w:val="43C84321"/>
    <w:rsid w:val="43C87F9E"/>
    <w:rsid w:val="43C97EBF"/>
    <w:rsid w:val="43CC512E"/>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F0642"/>
    <w:rsid w:val="440F49DD"/>
    <w:rsid w:val="441058F2"/>
    <w:rsid w:val="44106909"/>
    <w:rsid w:val="44134828"/>
    <w:rsid w:val="441822CB"/>
    <w:rsid w:val="441A0B4A"/>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36A5D"/>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3B2E"/>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32E37"/>
    <w:rsid w:val="46366B3A"/>
    <w:rsid w:val="463A40F8"/>
    <w:rsid w:val="463C4639"/>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85505"/>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1CEF"/>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33004"/>
    <w:rsid w:val="4D24678E"/>
    <w:rsid w:val="4D250901"/>
    <w:rsid w:val="4D263863"/>
    <w:rsid w:val="4D304246"/>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155BC7"/>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04F55"/>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57EB"/>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13F8C"/>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0BCE"/>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5F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E7FB9"/>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A5AA2"/>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46BCE"/>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69D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622F3"/>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674DE"/>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708CA"/>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0E3A"/>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1127"/>
    <w:rsid w:val="5E9827DF"/>
    <w:rsid w:val="5E99069D"/>
    <w:rsid w:val="5E9A5A70"/>
    <w:rsid w:val="5E9B5B7D"/>
    <w:rsid w:val="5E9E74D4"/>
    <w:rsid w:val="5E9F1B98"/>
    <w:rsid w:val="5E9F2284"/>
    <w:rsid w:val="5E9F7A39"/>
    <w:rsid w:val="5EA0471B"/>
    <w:rsid w:val="5EA104AD"/>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53C60"/>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93FAA"/>
    <w:rsid w:val="60DA0804"/>
    <w:rsid w:val="60DC14CC"/>
    <w:rsid w:val="60DE6B1A"/>
    <w:rsid w:val="60E65742"/>
    <w:rsid w:val="60EA19A3"/>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82AD9"/>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A1574"/>
    <w:rsid w:val="61AF3C45"/>
    <w:rsid w:val="61B02AA7"/>
    <w:rsid w:val="61B420AD"/>
    <w:rsid w:val="61B52C5B"/>
    <w:rsid w:val="61B56192"/>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56970"/>
    <w:rsid w:val="62A8670C"/>
    <w:rsid w:val="62AB6F11"/>
    <w:rsid w:val="62AE4744"/>
    <w:rsid w:val="62B02D61"/>
    <w:rsid w:val="62B32CEF"/>
    <w:rsid w:val="62B96A7C"/>
    <w:rsid w:val="62BA1D9C"/>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619A2"/>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1E3B"/>
    <w:rsid w:val="65412072"/>
    <w:rsid w:val="65454A6C"/>
    <w:rsid w:val="65454B28"/>
    <w:rsid w:val="65480DED"/>
    <w:rsid w:val="654A37E4"/>
    <w:rsid w:val="654B20B5"/>
    <w:rsid w:val="654C56E3"/>
    <w:rsid w:val="654E0733"/>
    <w:rsid w:val="654F3502"/>
    <w:rsid w:val="65532D3E"/>
    <w:rsid w:val="65584A8B"/>
    <w:rsid w:val="655959B1"/>
    <w:rsid w:val="655A286C"/>
    <w:rsid w:val="655A6630"/>
    <w:rsid w:val="65610CE1"/>
    <w:rsid w:val="65612598"/>
    <w:rsid w:val="65673758"/>
    <w:rsid w:val="6569737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029A5"/>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B3058"/>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5625"/>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1264C"/>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54975"/>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1189"/>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90C01"/>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B527C"/>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754B9"/>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D2ACB"/>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D25A8"/>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A0A16"/>
    <w:rsid w:val="6F1C5E77"/>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442"/>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73C7B"/>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3FB9"/>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2583F"/>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1507"/>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0164"/>
    <w:rsid w:val="753B1C65"/>
    <w:rsid w:val="753E6974"/>
    <w:rsid w:val="75414E11"/>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02756"/>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33CC"/>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07164"/>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95C71"/>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4136"/>
    <w:rsid w:val="77A67B3A"/>
    <w:rsid w:val="77A746AD"/>
    <w:rsid w:val="77A946BE"/>
    <w:rsid w:val="77AB17FD"/>
    <w:rsid w:val="77AE069A"/>
    <w:rsid w:val="77AE4FBA"/>
    <w:rsid w:val="77B01BAD"/>
    <w:rsid w:val="77B4657B"/>
    <w:rsid w:val="77B55F2E"/>
    <w:rsid w:val="77BB3206"/>
    <w:rsid w:val="77BD5588"/>
    <w:rsid w:val="77BE2401"/>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2D47"/>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BF0393"/>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909CC"/>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Malgun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0"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Autospacing="1" w:after="50" w:afterLines="50"/>
    </w:pPr>
    <w:rPr>
      <w:rFonts w:ascii="Times New Roman" w:hAnsi="Times New Roman" w:eastAsia="Times New Roman" w:cs="Times New Roman"/>
      <w:szCs w:val="24"/>
      <w:lang w:val="en-US" w:eastAsia="zh-CN" w:bidi="ar-SA"/>
    </w:rPr>
  </w:style>
  <w:style w:type="paragraph" w:styleId="2">
    <w:name w:val="heading 1"/>
    <w:basedOn w:val="1"/>
    <w:next w:val="1"/>
    <w:link w:val="37"/>
    <w:qFormat/>
    <w:uiPriority w:val="99"/>
    <w:pPr>
      <w:widowControl w:val="0"/>
      <w:numPr>
        <w:ilvl w:val="0"/>
        <w:numId w:val="1"/>
      </w:numPr>
      <w:autoSpaceDE w:val="0"/>
      <w:autoSpaceDN w:val="0"/>
      <w:adjustRightInd w:val="0"/>
      <w:spacing w:before="50" w:beforeLines="50" w:beforeAutospacing="0" w:line="360" w:lineRule="auto"/>
      <w:ind w:left="431" w:hanging="431"/>
      <w:jc w:val="both"/>
      <w:outlineLvl w:val="0"/>
    </w:pPr>
    <w:rPr>
      <w:rFonts w:eastAsia="黑体"/>
      <w:b/>
      <w:bCs/>
      <w:sz w:val="30"/>
      <w:szCs w:val="30"/>
      <w:lang w:val="zh-CN"/>
    </w:rPr>
  </w:style>
  <w:style w:type="paragraph" w:styleId="3">
    <w:name w:val="heading 2"/>
    <w:basedOn w:val="2"/>
    <w:next w:val="1"/>
    <w:link w:val="36"/>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8"/>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7"/>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1"/>
    <w:qFormat/>
    <w:uiPriority w:val="0"/>
    <w:pPr>
      <w:outlineLvl w:val="4"/>
    </w:pPr>
    <w:rPr>
      <w:szCs w:val="24"/>
    </w:rPr>
  </w:style>
  <w:style w:type="paragraph" w:styleId="7">
    <w:name w:val="heading 6"/>
    <w:basedOn w:val="1"/>
    <w:next w:val="1"/>
    <w:link w:val="96"/>
    <w:qFormat/>
    <w:uiPriority w:val="9"/>
    <w:pPr>
      <w:keepNext/>
      <w:keepLines/>
      <w:numPr>
        <w:ilvl w:val="5"/>
        <w:numId w:val="1"/>
      </w:numPr>
      <w:tabs>
        <w:tab w:val="left" w:pos="432"/>
      </w:tabs>
      <w:adjustRightInd w:val="0"/>
      <w:spacing w:before="240" w:beforeLines="30" w:beforeAutospacing="0" w:after="64" w:afterLines="30" w:line="320" w:lineRule="auto"/>
      <w:jc w:val="both"/>
      <w:outlineLvl w:val="5"/>
    </w:pPr>
    <w:rPr>
      <w:rFonts w:ascii="Cambria" w:hAnsi="Cambria" w:cs="黑体"/>
      <w:b/>
      <w:bCs/>
    </w:rPr>
  </w:style>
  <w:style w:type="paragraph" w:styleId="8">
    <w:name w:val="heading 7"/>
    <w:basedOn w:val="1"/>
    <w:next w:val="1"/>
    <w:link w:val="87"/>
    <w:qFormat/>
    <w:uiPriority w:val="9"/>
    <w:pPr>
      <w:keepNext/>
      <w:keepLines/>
      <w:numPr>
        <w:ilvl w:val="6"/>
        <w:numId w:val="1"/>
      </w:numPr>
      <w:tabs>
        <w:tab w:val="left" w:pos="432"/>
      </w:tabs>
      <w:adjustRightInd w:val="0"/>
      <w:spacing w:before="240" w:beforeLines="30" w:beforeAutospacing="0" w:after="64" w:afterLines="30" w:line="320" w:lineRule="auto"/>
      <w:jc w:val="both"/>
      <w:outlineLvl w:val="6"/>
    </w:pPr>
    <w:rPr>
      <w:b/>
      <w:bCs/>
    </w:rPr>
  </w:style>
  <w:style w:type="paragraph" w:styleId="9">
    <w:name w:val="heading 8"/>
    <w:basedOn w:val="1"/>
    <w:next w:val="1"/>
    <w:link w:val="104"/>
    <w:qFormat/>
    <w:uiPriority w:val="9"/>
    <w:pPr>
      <w:keepNext/>
      <w:keepLines/>
      <w:numPr>
        <w:ilvl w:val="7"/>
        <w:numId w:val="1"/>
      </w:numPr>
      <w:tabs>
        <w:tab w:val="left" w:pos="432"/>
      </w:tabs>
      <w:adjustRightInd w:val="0"/>
      <w:spacing w:before="240" w:beforeLines="30" w:beforeAutospacing="0" w:after="64" w:afterLines="30" w:line="320" w:lineRule="auto"/>
      <w:jc w:val="both"/>
      <w:outlineLvl w:val="7"/>
    </w:pPr>
    <w:rPr>
      <w:rFonts w:ascii="Cambria" w:hAnsi="Cambria" w:cs="黑体"/>
    </w:rPr>
  </w:style>
  <w:style w:type="paragraph" w:styleId="10">
    <w:name w:val="heading 9"/>
    <w:basedOn w:val="1"/>
    <w:next w:val="1"/>
    <w:link w:val="98"/>
    <w:qFormat/>
    <w:uiPriority w:val="9"/>
    <w:pPr>
      <w:keepNext/>
      <w:keepLines/>
      <w:numPr>
        <w:ilvl w:val="8"/>
        <w:numId w:val="1"/>
      </w:numPr>
      <w:tabs>
        <w:tab w:val="left" w:pos="432"/>
      </w:tabs>
      <w:adjustRightInd w:val="0"/>
      <w:spacing w:before="240" w:beforeLines="30" w:beforeAutospacing="0" w:after="64" w:afterLines="30" w:line="320" w:lineRule="auto"/>
      <w:jc w:val="both"/>
      <w:outlineLvl w:val="8"/>
    </w:pPr>
    <w:rPr>
      <w:rFonts w:ascii="Cambria" w:hAnsi="Cambria" w:cs="黑体"/>
      <w:sz w:val="21"/>
      <w:szCs w:val="21"/>
    </w:r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adjustRightInd w:val="0"/>
      <w:spacing w:before="30" w:beforeLines="30" w:beforeAutospacing="0" w:after="30" w:afterLines="30" w:line="264" w:lineRule="auto"/>
      <w:ind w:left="100" w:leftChars="400" w:hanging="200" w:hangingChars="200"/>
      <w:contextualSpacing/>
      <w:jc w:val="both"/>
    </w:pPr>
    <w:rPr>
      <w:szCs w:val="22"/>
    </w:rPr>
  </w:style>
  <w:style w:type="paragraph" w:styleId="12">
    <w:name w:val="Normal Indent"/>
    <w:basedOn w:val="1"/>
    <w:qFormat/>
    <w:uiPriority w:val="0"/>
    <w:pPr>
      <w:widowControl w:val="0"/>
      <w:adjustRightInd w:val="0"/>
      <w:spacing w:before="30" w:beforeLines="30" w:beforeAutospacing="0" w:after="30" w:afterLines="30" w:line="264" w:lineRule="auto"/>
      <w:ind w:firstLine="420"/>
      <w:jc w:val="both"/>
    </w:pPr>
    <w:rPr>
      <w:kern w:val="2"/>
      <w:sz w:val="21"/>
      <w:szCs w:val="20"/>
    </w:rPr>
  </w:style>
  <w:style w:type="paragraph" w:styleId="13">
    <w:name w:val="caption"/>
    <w:basedOn w:val="1"/>
    <w:next w:val="1"/>
    <w:link w:val="102"/>
    <w:qFormat/>
    <w:uiPriority w:val="0"/>
    <w:pPr>
      <w:tabs>
        <w:tab w:val="left" w:pos="1418"/>
      </w:tabs>
      <w:adjustRightInd w:val="0"/>
      <w:spacing w:before="120" w:beforeLines="30" w:beforeAutospacing="0" w:after="120" w:afterLines="30" w:line="264" w:lineRule="auto"/>
      <w:jc w:val="both"/>
    </w:pPr>
    <w:rPr>
      <w:b/>
      <w:bCs/>
      <w:szCs w:val="20"/>
    </w:rPr>
  </w:style>
  <w:style w:type="paragraph" w:styleId="14">
    <w:name w:val="Document Map"/>
    <w:basedOn w:val="1"/>
    <w:link w:val="112"/>
    <w:unhideWhenUsed/>
    <w:qFormat/>
    <w:uiPriority w:val="0"/>
    <w:pPr>
      <w:adjustRightInd w:val="0"/>
      <w:spacing w:before="30" w:beforeLines="30" w:beforeAutospacing="0" w:after="30" w:afterLines="30" w:line="264" w:lineRule="auto"/>
      <w:jc w:val="both"/>
    </w:pPr>
    <w:rPr>
      <w:rFonts w:ascii="宋体"/>
      <w:sz w:val="18"/>
      <w:szCs w:val="18"/>
    </w:rPr>
  </w:style>
  <w:style w:type="paragraph" w:styleId="15">
    <w:name w:val="annotation text"/>
    <w:basedOn w:val="1"/>
    <w:link w:val="107"/>
    <w:unhideWhenUsed/>
    <w:qFormat/>
    <w:uiPriority w:val="99"/>
    <w:pPr>
      <w:adjustRightInd w:val="0"/>
      <w:spacing w:before="30" w:beforeLines="30" w:beforeAutospacing="0" w:after="30" w:afterLines="30" w:line="264" w:lineRule="auto"/>
      <w:jc w:val="both"/>
    </w:pPr>
    <w:rPr>
      <w:szCs w:val="20"/>
    </w:rPr>
  </w:style>
  <w:style w:type="paragraph" w:styleId="16">
    <w:name w:val="Body Text"/>
    <w:basedOn w:val="1"/>
    <w:link w:val="89"/>
    <w:qFormat/>
    <w:uiPriority w:val="0"/>
    <w:pPr>
      <w:widowControl w:val="0"/>
      <w:adjustRightInd w:val="0"/>
      <w:spacing w:before="30" w:beforeLines="30" w:beforeAutospacing="0" w:after="30" w:afterLines="30" w:line="264" w:lineRule="auto"/>
      <w:jc w:val="both"/>
    </w:pPr>
    <w:rPr>
      <w:color w:val="000000"/>
      <w:kern w:val="2"/>
      <w:sz w:val="21"/>
      <w:szCs w:val="20"/>
    </w:rPr>
  </w:style>
  <w:style w:type="paragraph" w:styleId="17">
    <w:name w:val="Body Text Indent"/>
    <w:basedOn w:val="1"/>
    <w:link w:val="103"/>
    <w:unhideWhenUsed/>
    <w:qFormat/>
    <w:uiPriority w:val="99"/>
    <w:pPr>
      <w:adjustRightInd w:val="0"/>
      <w:spacing w:before="30" w:beforeLines="30" w:beforeAutospacing="0" w:after="120" w:afterLines="30" w:line="264" w:lineRule="auto"/>
      <w:ind w:left="360"/>
      <w:jc w:val="both"/>
    </w:pPr>
    <w:rPr>
      <w:szCs w:val="22"/>
    </w:rPr>
  </w:style>
  <w:style w:type="paragraph" w:styleId="18">
    <w:name w:val="List Number 3"/>
    <w:basedOn w:val="1"/>
    <w:qFormat/>
    <w:uiPriority w:val="0"/>
    <w:pPr>
      <w:numPr>
        <w:ilvl w:val="0"/>
        <w:numId w:val="3"/>
      </w:numPr>
      <w:overflowPunct w:val="0"/>
      <w:autoSpaceDE w:val="0"/>
      <w:autoSpaceDN w:val="0"/>
      <w:adjustRightInd w:val="0"/>
      <w:snapToGrid/>
      <w:spacing w:beforeAutospacing="0" w:after="180" w:afterLines="0"/>
      <w:textAlignment w:val="baseline"/>
    </w:pPr>
    <w:rPr>
      <w:rFonts w:eastAsia="宋体"/>
      <w:szCs w:val="20"/>
      <w:lang w:val="en-GB" w:eastAsia="en-US"/>
    </w:rPr>
  </w:style>
  <w:style w:type="paragraph" w:styleId="19">
    <w:name w:val="List 2"/>
    <w:basedOn w:val="1"/>
    <w:unhideWhenUsed/>
    <w:qFormat/>
    <w:uiPriority w:val="99"/>
    <w:pPr>
      <w:ind w:left="851"/>
    </w:pPr>
  </w:style>
  <w:style w:type="paragraph" w:styleId="20">
    <w:name w:val="Plain Text"/>
    <w:basedOn w:val="1"/>
    <w:link w:val="99"/>
    <w:unhideWhenUsed/>
    <w:qFormat/>
    <w:uiPriority w:val="99"/>
    <w:pPr>
      <w:adjustRightInd w:val="0"/>
      <w:spacing w:before="30" w:beforeLines="30" w:beforeAutospacing="0" w:after="30" w:afterLines="30" w:line="264" w:lineRule="auto"/>
      <w:jc w:val="both"/>
    </w:pPr>
    <w:rPr>
      <w:rFonts w:eastAsia="Calibri"/>
      <w:szCs w:val="21"/>
      <w:lang w:eastAsia="en-US"/>
    </w:rPr>
  </w:style>
  <w:style w:type="paragraph" w:styleId="21">
    <w:name w:val="Date"/>
    <w:basedOn w:val="1"/>
    <w:next w:val="1"/>
    <w:link w:val="90"/>
    <w:unhideWhenUsed/>
    <w:qFormat/>
    <w:uiPriority w:val="99"/>
    <w:pPr>
      <w:adjustRightInd w:val="0"/>
      <w:spacing w:before="30" w:beforeLines="30" w:beforeAutospacing="0" w:after="30" w:afterLines="30" w:line="264" w:lineRule="auto"/>
      <w:ind w:left="100" w:leftChars="2500"/>
      <w:jc w:val="both"/>
    </w:pPr>
    <w:rPr>
      <w:szCs w:val="22"/>
    </w:rPr>
  </w:style>
  <w:style w:type="paragraph" w:styleId="22">
    <w:name w:val="Balloon Text"/>
    <w:basedOn w:val="1"/>
    <w:link w:val="35"/>
    <w:unhideWhenUsed/>
    <w:qFormat/>
    <w:uiPriority w:val="99"/>
    <w:pPr>
      <w:adjustRightInd w:val="0"/>
      <w:spacing w:before="30" w:beforeLines="30" w:beforeAutospacing="0" w:after="30" w:afterLines="30" w:line="264" w:lineRule="auto"/>
      <w:jc w:val="both"/>
    </w:pPr>
    <w:rPr>
      <w:rFonts w:ascii="Tahoma" w:hAnsi="Tahoma"/>
      <w:sz w:val="16"/>
      <w:szCs w:val="16"/>
    </w:rPr>
  </w:style>
  <w:style w:type="paragraph" w:styleId="23">
    <w:name w:val="footer"/>
    <w:basedOn w:val="1"/>
    <w:link w:val="106"/>
    <w:unhideWhenUsed/>
    <w:qFormat/>
    <w:uiPriority w:val="99"/>
    <w:pPr>
      <w:tabs>
        <w:tab w:val="center" w:pos="4153"/>
        <w:tab w:val="right" w:pos="8306"/>
      </w:tabs>
      <w:adjustRightInd w:val="0"/>
      <w:spacing w:before="30" w:beforeLines="30" w:beforeAutospacing="0" w:after="30" w:afterLines="30" w:line="264" w:lineRule="auto"/>
      <w:jc w:val="both"/>
    </w:pPr>
    <w:rPr>
      <w:sz w:val="18"/>
      <w:szCs w:val="18"/>
    </w:rPr>
  </w:style>
  <w:style w:type="paragraph" w:styleId="24">
    <w:name w:val="header"/>
    <w:basedOn w:val="1"/>
    <w:link w:val="94"/>
    <w:qFormat/>
    <w:uiPriority w:val="0"/>
    <w:pPr>
      <w:tabs>
        <w:tab w:val="center" w:pos="4536"/>
        <w:tab w:val="right" w:pos="9072"/>
      </w:tabs>
      <w:adjustRightInd w:val="0"/>
      <w:spacing w:before="30" w:beforeLines="30" w:beforeAutospacing="0" w:after="30" w:afterLines="30" w:line="264" w:lineRule="auto"/>
      <w:jc w:val="both"/>
    </w:pPr>
    <w:rPr>
      <w:rFonts w:ascii="Arial" w:hAnsi="Arial" w:eastAsia="MS Mincho"/>
      <w:b/>
      <w:lang w:eastAsia="en-US"/>
    </w:rPr>
  </w:style>
  <w:style w:type="paragraph" w:styleId="25">
    <w:name w:val="List"/>
    <w:basedOn w:val="1"/>
    <w:unhideWhenUsed/>
    <w:qFormat/>
    <w:uiPriority w:val="99"/>
    <w:pPr>
      <w:adjustRightInd w:val="0"/>
      <w:spacing w:before="30" w:beforeLines="30" w:beforeAutospacing="0" w:after="30" w:afterLines="30" w:line="264" w:lineRule="auto"/>
      <w:ind w:left="568" w:hanging="284"/>
      <w:jc w:val="both"/>
    </w:pPr>
    <w:rPr>
      <w:szCs w:val="22"/>
    </w:rPr>
  </w:style>
  <w:style w:type="paragraph" w:styleId="26">
    <w:name w:val="Normal (Web)"/>
    <w:basedOn w:val="1"/>
    <w:unhideWhenUsed/>
    <w:qFormat/>
    <w:uiPriority w:val="99"/>
    <w:pPr>
      <w:adjustRightInd w:val="0"/>
      <w:spacing w:before="30" w:beforeLines="30" w:beforeAutospacing="0" w:after="30" w:afterLines="30" w:line="264" w:lineRule="auto"/>
      <w:jc w:val="both"/>
    </w:pPr>
    <w:rPr>
      <w:rFonts w:ascii="宋体" w:hAnsi="宋体" w:cs="宋体"/>
    </w:rPr>
  </w:style>
  <w:style w:type="paragraph" w:styleId="27">
    <w:name w:val="annotation subject"/>
    <w:basedOn w:val="15"/>
    <w:next w:val="15"/>
    <w:link w:val="92"/>
    <w:unhideWhenUsed/>
    <w:qFormat/>
    <w:uiPriority w:val="99"/>
    <w:rPr>
      <w:b/>
      <w:bCs/>
    </w:rPr>
  </w:style>
  <w:style w:type="table" w:styleId="29">
    <w:name w:val="Table Grid"/>
    <w:basedOn w:val="28"/>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basedOn w:val="30"/>
    <w:qFormat/>
    <w:uiPriority w:val="22"/>
    <w:rPr>
      <w:b/>
      <w:bCs/>
    </w:rPr>
  </w:style>
  <w:style w:type="character" w:styleId="32">
    <w:name w:val="Emphasis"/>
    <w:basedOn w:val="30"/>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批注框文本 字符"/>
    <w:link w:val="22"/>
    <w:semiHidden/>
    <w:qFormat/>
    <w:uiPriority w:val="99"/>
    <w:rPr>
      <w:rFonts w:ascii="Tahoma" w:hAnsi="Tahoma" w:cs="Tahoma"/>
      <w:sz w:val="16"/>
      <w:szCs w:val="16"/>
    </w:rPr>
  </w:style>
  <w:style w:type="character" w:customStyle="1" w:styleId="36">
    <w:name w:val="标题 2 字符"/>
    <w:link w:val="3"/>
    <w:qFormat/>
    <w:uiPriority w:val="0"/>
    <w:rPr>
      <w:rFonts w:ascii="Times New Roman" w:hAnsi="Times New Roman" w:eastAsia="宋体"/>
      <w:b/>
      <w:bCs/>
      <w:kern w:val="2"/>
      <w:sz w:val="24"/>
      <w:szCs w:val="24"/>
      <w:lang w:val="zh-CN"/>
    </w:rPr>
  </w:style>
  <w:style w:type="character" w:customStyle="1" w:styleId="37">
    <w:name w:val="标题 1 字符"/>
    <w:link w:val="2"/>
    <w:qFormat/>
    <w:uiPriority w:val="99"/>
    <w:rPr>
      <w:rFonts w:ascii="Times New Roman" w:hAnsi="Times New Roman" w:eastAsia="黑体"/>
      <w:b/>
      <w:bCs/>
      <w:sz w:val="30"/>
      <w:szCs w:val="30"/>
      <w:lang w:val="zh-CN" w:eastAsia="zh-CN"/>
    </w:rPr>
  </w:style>
  <w:style w:type="character" w:customStyle="1" w:styleId="38">
    <w:name w:val="标题 3 字符"/>
    <w:link w:val="4"/>
    <w:qFormat/>
    <w:uiPriority w:val="9"/>
    <w:rPr>
      <w:rFonts w:ascii="Times New Roman" w:hAnsi="Times New Roman" w:eastAsia="宋体"/>
      <w:b/>
      <w:bCs/>
      <w:sz w:val="22"/>
      <w:szCs w:val="32"/>
      <w:lang w:val="en-US" w:eastAsia="zh-CN"/>
    </w:rPr>
  </w:style>
  <w:style w:type="paragraph" w:customStyle="1" w:styleId="39">
    <w:name w:val="TH"/>
    <w:basedOn w:val="1"/>
    <w:link w:val="88"/>
    <w:qFormat/>
    <w:uiPriority w:val="0"/>
    <w:pPr>
      <w:keepNext/>
      <w:keepLines/>
      <w:adjustRightInd w:val="0"/>
      <w:spacing w:before="60" w:beforeLines="30" w:beforeAutospacing="0" w:afterLines="30" w:line="264" w:lineRule="auto"/>
      <w:jc w:val="center"/>
    </w:pPr>
    <w:rPr>
      <w:rFonts w:ascii="Arial" w:hAnsi="Arial"/>
      <w:b/>
      <w:szCs w:val="20"/>
      <w:lang w:eastAsia="en-US"/>
    </w:rPr>
  </w:style>
  <w:style w:type="paragraph" w:customStyle="1" w:styleId="40">
    <w:name w:val="列出段落5"/>
    <w:basedOn w:val="1"/>
    <w:unhideWhenUsed/>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41">
    <w:name w:val="EQ"/>
    <w:basedOn w:val="1"/>
    <w:next w:val="1"/>
    <w:qFormat/>
    <w:uiPriority w:val="0"/>
    <w:pPr>
      <w:keepLines/>
      <w:tabs>
        <w:tab w:val="center" w:pos="4536"/>
        <w:tab w:val="right" w:pos="9072"/>
      </w:tabs>
      <w:overflowPunct w:val="0"/>
      <w:adjustRightInd w:val="0"/>
      <w:spacing w:before="30" w:beforeLines="30" w:beforeAutospacing="0" w:afterLines="30" w:line="264" w:lineRule="auto"/>
      <w:jc w:val="both"/>
      <w:textAlignment w:val="baseline"/>
    </w:pPr>
    <w:rPr>
      <w:szCs w:val="22"/>
    </w:rPr>
  </w:style>
  <w:style w:type="paragraph" w:customStyle="1" w:styleId="42">
    <w:name w:val="样式 ！正文"/>
    <w:basedOn w:val="1"/>
    <w:qFormat/>
    <w:uiPriority w:val="0"/>
    <w:pPr>
      <w:widowControl w:val="0"/>
      <w:adjustRightInd w:val="0"/>
      <w:spacing w:before="40" w:beforeLines="30" w:beforeAutospacing="0" w:after="40" w:afterLines="30" w:line="300" w:lineRule="auto"/>
      <w:ind w:firstLine="420"/>
      <w:jc w:val="both"/>
    </w:pPr>
    <w:rPr>
      <w:rFonts w:cs="宋体"/>
      <w:kern w:val="2"/>
      <w:sz w:val="21"/>
      <w:szCs w:val="20"/>
    </w:rPr>
  </w:style>
  <w:style w:type="paragraph" w:customStyle="1" w:styleId="43">
    <w:name w:val="List Paragraph5"/>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44">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5">
    <w:name w:val="TAH"/>
    <w:basedOn w:val="46"/>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6">
    <w:name w:val="TAC"/>
    <w:basedOn w:val="47"/>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7">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jc w:val="both"/>
    </w:pPr>
    <w:rPr>
      <w:rFonts w:ascii="Arial" w:hAnsi="Arial"/>
      <w:sz w:val="18"/>
      <w:szCs w:val="22"/>
    </w:rPr>
  </w:style>
  <w:style w:type="paragraph" w:customStyle="1" w:styleId="48">
    <w:name w:val="列出段落4"/>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49">
    <w:name w:val="LGTdoc_본문"/>
    <w:basedOn w:val="1"/>
    <w:qFormat/>
    <w:uiPriority w:val="0"/>
    <w:pPr>
      <w:widowControl w:val="0"/>
      <w:autoSpaceDE w:val="0"/>
      <w:autoSpaceDN w:val="0"/>
      <w:adjustRightInd w:val="0"/>
      <w:spacing w:before="30" w:beforeLines="30" w:beforeAutospacing="0" w:after="30" w:afterLines="30" w:line="264" w:lineRule="auto"/>
      <w:jc w:val="both"/>
    </w:pPr>
    <w:rPr>
      <w:kern w:val="2"/>
      <w:sz w:val="22"/>
      <w:szCs w:val="22"/>
      <w:lang w:eastAsia="ko-KR"/>
    </w:rPr>
  </w:style>
  <w:style w:type="paragraph" w:customStyle="1" w:styleId="5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1">
    <w:name w:val="TAN"/>
    <w:basedOn w:val="1"/>
    <w:qFormat/>
    <w:uiPriority w:val="0"/>
    <w:pPr>
      <w:keepNext/>
      <w:keepLines/>
      <w:adjustRightInd w:val="0"/>
      <w:spacing w:before="30" w:beforeLines="30" w:beforeAutospacing="0" w:after="30" w:afterLines="30" w:line="264" w:lineRule="auto"/>
      <w:ind w:left="851" w:hanging="851"/>
      <w:jc w:val="both"/>
    </w:pPr>
    <w:rPr>
      <w:rFonts w:ascii="Arial" w:hAnsi="Arial"/>
      <w:sz w:val="18"/>
      <w:szCs w:val="20"/>
      <w:lang w:eastAsia="en-US"/>
    </w:rPr>
  </w:style>
  <w:style w:type="paragraph" w:styleId="52">
    <w:name w:val="List Paragraph"/>
    <w:basedOn w:val="1"/>
    <w:link w:val="119"/>
    <w:qFormat/>
    <w:uiPriority w:val="34"/>
    <w:pPr>
      <w:adjustRightInd w:val="0"/>
      <w:spacing w:before="30" w:beforeLines="30" w:beforeAutospacing="0" w:after="30" w:afterLines="30" w:line="264" w:lineRule="auto"/>
      <w:ind w:left="840" w:leftChars="400"/>
      <w:jc w:val="both"/>
    </w:pPr>
    <w:rPr>
      <w:rFonts w:ascii="Times" w:hAnsi="Times" w:eastAsia="Batang"/>
      <w:lang w:val="en-GB"/>
    </w:rPr>
  </w:style>
  <w:style w:type="paragraph" w:customStyle="1" w:styleId="53">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4">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720"/>
      <w:contextualSpacing/>
      <w:jc w:val="both"/>
    </w:pPr>
    <w:rPr>
      <w:szCs w:val="22"/>
    </w:rPr>
  </w:style>
  <w:style w:type="paragraph" w:customStyle="1" w:styleId="55">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firstLine="420" w:firstLineChars="200"/>
      <w:jc w:val="both"/>
    </w:pPr>
    <w:rPr>
      <w:rFonts w:eastAsia="宋体"/>
      <w:szCs w:val="22"/>
    </w:rPr>
  </w:style>
  <w:style w:type="paragraph" w:customStyle="1" w:styleId="56">
    <w:name w:val="List Paragraph3"/>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57">
    <w:name w:val="Doc-text2"/>
    <w:basedOn w:val="1"/>
    <w:link w:val="113"/>
    <w:qFormat/>
    <w:uiPriority w:val="0"/>
    <w:pPr>
      <w:tabs>
        <w:tab w:val="left" w:pos="1622"/>
      </w:tabs>
      <w:adjustRightInd w:val="0"/>
      <w:spacing w:before="30" w:beforeLines="30" w:beforeAutospacing="0" w:after="30" w:afterLines="30" w:line="264" w:lineRule="auto"/>
      <w:ind w:left="1622" w:hanging="363"/>
      <w:jc w:val="both"/>
    </w:pPr>
    <w:rPr>
      <w:rFonts w:ascii="Arial" w:hAnsi="Arial" w:eastAsia="MS Mincho"/>
    </w:rPr>
  </w:style>
  <w:style w:type="paragraph" w:customStyle="1" w:styleId="58">
    <w:name w:val="B2"/>
    <w:basedOn w:val="19"/>
    <w:qFormat/>
    <w:uiPriority w:val="0"/>
  </w:style>
  <w:style w:type="paragraph" w:customStyle="1" w:styleId="59">
    <w:name w:val="TF"/>
    <w:basedOn w:val="39"/>
    <w:link w:val="95"/>
    <w:qFormat/>
    <w:uiPriority w:val="0"/>
    <w:pPr>
      <w:keepNext w:val="0"/>
      <w:spacing w:before="0" w:after="240"/>
    </w:pPr>
    <w:rPr>
      <w:lang w:val="en-GB"/>
    </w:rPr>
  </w:style>
  <w:style w:type="paragraph" w:customStyle="1" w:styleId="60">
    <w:name w:val="z-窗体底端1"/>
    <w:basedOn w:val="1"/>
    <w:next w:val="1"/>
    <w:link w:val="109"/>
    <w:unhideWhenUsed/>
    <w:qFormat/>
    <w:uiPriority w:val="99"/>
    <w:pPr>
      <w:pBdr>
        <w:top w:val="single" w:color="auto" w:sz="6" w:space="1"/>
      </w:pBdr>
      <w:adjustRightInd w:val="0"/>
      <w:spacing w:before="30" w:beforeLines="30" w:beforeAutospacing="0" w:after="30" w:afterLines="30" w:line="264" w:lineRule="auto"/>
      <w:jc w:val="center"/>
    </w:pPr>
    <w:rPr>
      <w:rFonts w:ascii="Arial" w:hAnsi="Arial"/>
      <w:vanish/>
      <w:sz w:val="16"/>
      <w:szCs w:val="16"/>
    </w:rPr>
  </w:style>
  <w:style w:type="paragraph" w:customStyle="1" w:styleId="61">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2">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3">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840" w:leftChars="400"/>
      <w:jc w:val="both"/>
    </w:pPr>
    <w:rPr>
      <w:szCs w:val="22"/>
    </w:rPr>
  </w:style>
  <w:style w:type="paragraph" w:customStyle="1" w:styleId="64">
    <w:name w:val="B3"/>
    <w:basedOn w:val="11"/>
    <w:qFormat/>
    <w:uiPriority w:val="0"/>
    <w:pPr>
      <w:spacing w:after="180"/>
      <w:ind w:left="1135" w:leftChars="0" w:hanging="284" w:firstLineChars="0"/>
    </w:pPr>
    <w:rPr>
      <w:rFonts w:eastAsia="MS Mincho"/>
      <w:szCs w:val="20"/>
      <w:lang w:eastAsia="en-US"/>
    </w:rPr>
  </w:style>
  <w:style w:type="paragraph" w:customStyle="1" w:styleId="65">
    <w:name w:val="RAN1 text"/>
    <w:basedOn w:val="16"/>
    <w:qFormat/>
    <w:uiPriority w:val="0"/>
    <w:rPr>
      <w:rFonts w:eastAsia="MS Mincho"/>
    </w:rPr>
  </w:style>
  <w:style w:type="paragraph" w:customStyle="1" w:styleId="66">
    <w:name w:val="列出段落3"/>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67">
    <w:name w:val="_Style 1"/>
    <w:basedOn w:val="1"/>
    <w:qFormat/>
    <w:uiPriority w:val="34"/>
    <w:pPr>
      <w:adjustRightInd w:val="0"/>
      <w:spacing w:before="30" w:beforeLines="30" w:beforeAutospacing="0" w:after="30" w:afterLines="30" w:line="264" w:lineRule="auto"/>
      <w:ind w:left="840" w:leftChars="400"/>
      <w:jc w:val="both"/>
    </w:pPr>
    <w:rPr>
      <w:szCs w:val="22"/>
    </w:rPr>
  </w:style>
  <w:style w:type="paragraph" w:customStyle="1" w:styleId="68">
    <w:name w:val="列出段落2"/>
    <w:basedOn w:val="1"/>
    <w:qFormat/>
    <w:uiPriority w:val="99"/>
    <w:pPr>
      <w:adjustRightInd w:val="0"/>
      <w:spacing w:before="30" w:beforeLines="30" w:beforeAutospacing="0" w:after="30" w:afterLines="30" w:line="264" w:lineRule="auto"/>
      <w:ind w:left="720"/>
      <w:contextualSpacing/>
      <w:jc w:val="both"/>
    </w:pPr>
    <w:rPr>
      <w:szCs w:val="22"/>
    </w:rPr>
  </w:style>
  <w:style w:type="paragraph" w:customStyle="1" w:styleId="69">
    <w:name w:val="B1"/>
    <w:basedOn w:val="25"/>
    <w:qFormat/>
    <w:uiPriority w:val="0"/>
  </w:style>
  <w:style w:type="paragraph" w:customStyle="1" w:styleId="70">
    <w:name w:val="List Paragraph1"/>
    <w:basedOn w:val="1"/>
    <w:unhideWhenUsed/>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71">
    <w:name w:val="列出段落1"/>
    <w:basedOn w:val="1"/>
    <w:link w:val="93"/>
    <w:qFormat/>
    <w:uiPriority w:val="34"/>
    <w:pPr>
      <w:widowControl w:val="0"/>
      <w:adjustRightInd w:val="0"/>
      <w:spacing w:before="30" w:beforeLines="30" w:beforeAutospacing="0" w:after="30" w:afterLines="30" w:line="264" w:lineRule="auto"/>
      <w:ind w:firstLine="420" w:firstLineChars="200"/>
      <w:jc w:val="both"/>
    </w:pPr>
    <w:rPr>
      <w:kern w:val="2"/>
      <w:sz w:val="21"/>
    </w:rPr>
  </w:style>
  <w:style w:type="paragraph" w:customStyle="1" w:styleId="72">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3">
    <w:name w:val="List Paragraph7"/>
    <w:basedOn w:val="1"/>
    <w:qFormat/>
    <w:uiPriority w:val="34"/>
    <w:pPr>
      <w:adjustRightInd w:val="0"/>
      <w:spacing w:before="30" w:beforeLines="30" w:beforeAutospacing="0" w:after="30" w:afterLines="30" w:line="264" w:lineRule="auto"/>
      <w:ind w:firstLine="420"/>
      <w:jc w:val="both"/>
    </w:pPr>
    <w:rPr>
      <w:rFonts w:ascii="MS PGothic" w:hAnsi="MS PGothic" w:eastAsia="MS PGothic" w:cs="宋体"/>
    </w:rPr>
  </w:style>
  <w:style w:type="paragraph" w:customStyle="1" w:styleId="74">
    <w:name w:val="表格文字居左"/>
    <w:basedOn w:val="1"/>
    <w:next w:val="1"/>
    <w:qFormat/>
    <w:uiPriority w:val="0"/>
    <w:pPr>
      <w:widowControl w:val="0"/>
      <w:adjustRightInd w:val="0"/>
      <w:spacing w:before="30" w:beforeLines="30" w:beforeAutospacing="0" w:after="30" w:afterLines="30" w:line="264" w:lineRule="auto"/>
      <w:jc w:val="both"/>
    </w:pPr>
    <w:rPr>
      <w:rFonts w:ascii="Arial" w:hAnsi="Arial" w:cs="宋体"/>
      <w:kern w:val="2"/>
      <w:sz w:val="21"/>
      <w:szCs w:val="20"/>
    </w:rPr>
  </w:style>
  <w:style w:type="paragraph" w:customStyle="1" w:styleId="75">
    <w:name w:val="_Style 3"/>
    <w:basedOn w:val="1"/>
    <w:qFormat/>
    <w:uiPriority w:val="34"/>
    <w:pPr>
      <w:adjustRightInd w:val="0"/>
      <w:spacing w:before="30" w:beforeLines="30" w:beforeAutospacing="0" w:after="30" w:afterLines="30" w:line="264" w:lineRule="auto"/>
      <w:ind w:left="840" w:leftChars="400"/>
      <w:jc w:val="both"/>
    </w:pPr>
    <w:rPr>
      <w:szCs w:val="22"/>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7">
    <w:name w:val="List Paragraph6"/>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78">
    <w:name w:val="tablecell"/>
    <w:basedOn w:val="1"/>
    <w:qFormat/>
    <w:uiPriority w:val="0"/>
    <w:pPr>
      <w:autoSpaceDE w:val="0"/>
      <w:autoSpaceDN w:val="0"/>
      <w:adjustRightInd w:val="0"/>
      <w:spacing w:before="40" w:beforeLines="30" w:beforeAutospacing="0" w:after="40" w:afterLines="30" w:line="264" w:lineRule="auto"/>
      <w:jc w:val="both"/>
    </w:pPr>
    <w:rPr>
      <w:szCs w:val="22"/>
      <w:lang w:eastAsia="en-US"/>
    </w:rPr>
  </w:style>
  <w:style w:type="paragraph" w:customStyle="1" w:styleId="79">
    <w:name w:val="tableheader"/>
    <w:basedOn w:val="1"/>
    <w:qFormat/>
    <w:uiPriority w:val="0"/>
    <w:pPr>
      <w:adjustRightInd w:val="0"/>
      <w:spacing w:before="40" w:beforeLines="30" w:beforeAutospacing="0" w:after="40" w:afterLines="30" w:line="264" w:lineRule="auto"/>
      <w:jc w:val="center"/>
    </w:pPr>
    <w:rPr>
      <w:rFonts w:cs="Calibri"/>
      <w:b/>
      <w:bCs/>
      <w:color w:val="000000"/>
      <w:szCs w:val="22"/>
      <w:lang w:eastAsia="en-US"/>
    </w:rPr>
  </w:style>
  <w:style w:type="paragraph" w:customStyle="1" w:styleId="80">
    <w:name w:val="Test"/>
    <w:basedOn w:val="1"/>
    <w:qFormat/>
    <w:uiPriority w:val="0"/>
    <w:pPr>
      <w:adjustRightInd w:val="0"/>
      <w:spacing w:before="60" w:beforeLines="30" w:beforeAutospacing="0" w:after="60" w:afterLines="30" w:line="280" w:lineRule="atLeast"/>
      <w:ind w:left="2160"/>
      <w:jc w:val="both"/>
    </w:pPr>
    <w:rPr>
      <w:rFonts w:eastAsia="MS Mincho"/>
      <w:szCs w:val="20"/>
      <w:lang w:eastAsia="en-US"/>
    </w:rPr>
  </w:style>
  <w:style w:type="paragraph" w:customStyle="1" w:styleId="81">
    <w:name w:val="main text"/>
    <w:basedOn w:val="1"/>
    <w:link w:val="110"/>
    <w:qFormat/>
    <w:uiPriority w:val="0"/>
    <w:pPr>
      <w:adjustRightInd w:val="0"/>
      <w:spacing w:before="60" w:beforeLines="30" w:beforeAutospacing="0" w:after="60" w:afterLines="30" w:line="264" w:lineRule="auto"/>
      <w:ind w:firstLine="200" w:firstLineChars="200"/>
      <w:jc w:val="both"/>
    </w:pPr>
    <w:rPr>
      <w:rFonts w:eastAsia="Malgun Gothic"/>
      <w:szCs w:val="20"/>
      <w:lang w:eastAsia="ko-KR"/>
    </w:rPr>
  </w:style>
  <w:style w:type="paragraph" w:customStyle="1" w:styleId="82">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3">
    <w:name w:val="RAN1 bullet1"/>
    <w:basedOn w:val="1"/>
    <w:qFormat/>
    <w:uiPriority w:val="0"/>
    <w:pPr>
      <w:numPr>
        <w:ilvl w:val="0"/>
        <w:numId w:val="4"/>
      </w:numPr>
      <w:adjustRightInd w:val="0"/>
      <w:spacing w:before="30" w:beforeLines="30" w:beforeAutospacing="0" w:after="30" w:afterLines="30" w:line="264" w:lineRule="auto"/>
      <w:jc w:val="both"/>
    </w:pPr>
    <w:rPr>
      <w:szCs w:val="22"/>
    </w:rPr>
  </w:style>
  <w:style w:type="paragraph" w:customStyle="1" w:styleId="84">
    <w:name w:val="List Paragraph2"/>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85">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6">
    <w:name w:val="z-窗体顶端1"/>
    <w:basedOn w:val="1"/>
    <w:next w:val="1"/>
    <w:link w:val="91"/>
    <w:unhideWhenUsed/>
    <w:qFormat/>
    <w:uiPriority w:val="99"/>
    <w:pPr>
      <w:pBdr>
        <w:bottom w:val="single" w:color="auto" w:sz="6" w:space="1"/>
      </w:pBdr>
      <w:adjustRightInd w:val="0"/>
      <w:spacing w:before="30" w:beforeLines="30" w:beforeAutospacing="0" w:after="30" w:afterLines="30" w:line="264" w:lineRule="auto"/>
      <w:jc w:val="center"/>
    </w:pPr>
    <w:rPr>
      <w:rFonts w:ascii="Arial" w:hAnsi="Arial"/>
      <w:vanish/>
      <w:sz w:val="16"/>
      <w:szCs w:val="16"/>
    </w:rPr>
  </w:style>
  <w:style w:type="character" w:customStyle="1" w:styleId="87">
    <w:name w:val="标题 7 字符"/>
    <w:link w:val="8"/>
    <w:semiHidden/>
    <w:qFormat/>
    <w:uiPriority w:val="9"/>
    <w:rPr>
      <w:b/>
      <w:bCs/>
      <w:sz w:val="24"/>
      <w:szCs w:val="24"/>
      <w:lang w:val="en-US" w:eastAsia="zh-CN"/>
    </w:rPr>
  </w:style>
  <w:style w:type="character" w:customStyle="1" w:styleId="88">
    <w:name w:val="TH Char"/>
    <w:link w:val="39"/>
    <w:qFormat/>
    <w:uiPriority w:val="0"/>
    <w:rPr>
      <w:rFonts w:ascii="Arial" w:hAnsi="Arial"/>
      <w:b/>
      <w:lang w:eastAsia="en-US"/>
    </w:rPr>
  </w:style>
  <w:style w:type="character" w:customStyle="1" w:styleId="89">
    <w:name w:val="正文文本 字符"/>
    <w:link w:val="16"/>
    <w:qFormat/>
    <w:uiPriority w:val="0"/>
    <w:rPr>
      <w:rFonts w:ascii="Times New Roman" w:hAnsi="Times New Roman" w:eastAsia="宋体"/>
      <w:color w:val="000000"/>
      <w:kern w:val="2"/>
      <w:sz w:val="21"/>
    </w:rPr>
  </w:style>
  <w:style w:type="character" w:customStyle="1" w:styleId="90">
    <w:name w:val="日期 字符"/>
    <w:link w:val="21"/>
    <w:semiHidden/>
    <w:qFormat/>
    <w:uiPriority w:val="99"/>
    <w:rPr>
      <w:sz w:val="22"/>
      <w:szCs w:val="22"/>
    </w:rPr>
  </w:style>
  <w:style w:type="character" w:customStyle="1" w:styleId="91">
    <w:name w:val="z-窗体顶端 Char"/>
    <w:link w:val="86"/>
    <w:semiHidden/>
    <w:qFormat/>
    <w:uiPriority w:val="99"/>
    <w:rPr>
      <w:rFonts w:ascii="Arial" w:hAnsi="Arial" w:cs="Arial"/>
      <w:vanish/>
      <w:sz w:val="16"/>
      <w:szCs w:val="16"/>
    </w:rPr>
  </w:style>
  <w:style w:type="character" w:customStyle="1" w:styleId="92">
    <w:name w:val="批注主题 字符"/>
    <w:link w:val="27"/>
    <w:semiHidden/>
    <w:qFormat/>
    <w:uiPriority w:val="99"/>
    <w:rPr>
      <w:b/>
      <w:bCs/>
    </w:rPr>
  </w:style>
  <w:style w:type="character" w:customStyle="1" w:styleId="93">
    <w:name w:val="列出段落 Char"/>
    <w:link w:val="71"/>
    <w:qFormat/>
    <w:uiPriority w:val="34"/>
    <w:rPr>
      <w:rFonts w:ascii="Times New Roman" w:hAnsi="Times New Roman"/>
      <w:kern w:val="2"/>
      <w:sz w:val="21"/>
      <w:szCs w:val="24"/>
    </w:rPr>
  </w:style>
  <w:style w:type="character" w:customStyle="1" w:styleId="94">
    <w:name w:val="页眉 字符"/>
    <w:link w:val="24"/>
    <w:qFormat/>
    <w:uiPriority w:val="0"/>
    <w:rPr>
      <w:rFonts w:ascii="Arial" w:hAnsi="Arial" w:eastAsia="MS Mincho"/>
      <w:b/>
      <w:szCs w:val="24"/>
      <w:lang w:eastAsia="en-US"/>
    </w:rPr>
  </w:style>
  <w:style w:type="character" w:customStyle="1" w:styleId="95">
    <w:name w:val="TF Char"/>
    <w:link w:val="59"/>
    <w:qFormat/>
    <w:uiPriority w:val="0"/>
    <w:rPr>
      <w:rFonts w:ascii="Arial" w:hAnsi="Arial"/>
      <w:b/>
      <w:lang w:val="en-GB" w:eastAsia="en-US"/>
    </w:rPr>
  </w:style>
  <w:style w:type="character" w:customStyle="1" w:styleId="96">
    <w:name w:val="标题 6 字符"/>
    <w:link w:val="7"/>
    <w:semiHidden/>
    <w:qFormat/>
    <w:uiPriority w:val="9"/>
    <w:rPr>
      <w:rFonts w:ascii="Cambria" w:hAnsi="Cambria" w:eastAsia="宋体" w:cs="黑体"/>
      <w:b/>
      <w:bCs/>
      <w:sz w:val="24"/>
      <w:szCs w:val="24"/>
      <w:lang w:val="en-US" w:eastAsia="zh-CN"/>
    </w:rPr>
  </w:style>
  <w:style w:type="character" w:customStyle="1" w:styleId="97">
    <w:name w:val="标题 4 字符"/>
    <w:link w:val="5"/>
    <w:qFormat/>
    <w:uiPriority w:val="0"/>
    <w:rPr>
      <w:rFonts w:ascii="Times New Roman" w:hAnsi="Times New Roman"/>
      <w:b/>
      <w:sz w:val="28"/>
      <w:szCs w:val="28"/>
      <w:lang w:eastAsia="zh-CN"/>
    </w:rPr>
  </w:style>
  <w:style w:type="character" w:customStyle="1" w:styleId="98">
    <w:name w:val="标题 9 字符"/>
    <w:link w:val="10"/>
    <w:semiHidden/>
    <w:qFormat/>
    <w:uiPriority w:val="9"/>
    <w:rPr>
      <w:rFonts w:ascii="Cambria" w:hAnsi="Cambria" w:eastAsia="宋体" w:cs="黑体"/>
      <w:sz w:val="21"/>
      <w:szCs w:val="21"/>
      <w:lang w:val="en-US" w:eastAsia="zh-CN"/>
    </w:rPr>
  </w:style>
  <w:style w:type="character" w:customStyle="1" w:styleId="99">
    <w:name w:val="纯文本 字符"/>
    <w:link w:val="20"/>
    <w:qFormat/>
    <w:uiPriority w:val="99"/>
    <w:rPr>
      <w:rFonts w:eastAsia="Calibri"/>
      <w:sz w:val="22"/>
      <w:szCs w:val="21"/>
      <w:lang w:eastAsia="en-US"/>
    </w:rPr>
  </w:style>
  <w:style w:type="character" w:customStyle="1" w:styleId="100">
    <w:name w:val="apple-converted-space"/>
    <w:basedOn w:val="30"/>
    <w:qFormat/>
    <w:uiPriority w:val="0"/>
  </w:style>
  <w:style w:type="character" w:customStyle="1" w:styleId="101">
    <w:name w:val="标题 5 字符"/>
    <w:link w:val="6"/>
    <w:qFormat/>
    <w:uiPriority w:val="0"/>
    <w:rPr>
      <w:rFonts w:ascii="Times New Roman" w:hAnsi="Times New Roman"/>
      <w:b/>
      <w:sz w:val="24"/>
      <w:szCs w:val="24"/>
      <w:lang w:eastAsia="zh-CN"/>
    </w:rPr>
  </w:style>
  <w:style w:type="character" w:customStyle="1" w:styleId="102">
    <w:name w:val="题注 字符"/>
    <w:link w:val="13"/>
    <w:qFormat/>
    <w:uiPriority w:val="0"/>
    <w:rPr>
      <w:rFonts w:ascii="Times New Roman" w:hAnsi="Times New Roman"/>
      <w:b/>
      <w:bCs/>
    </w:rPr>
  </w:style>
  <w:style w:type="character" w:customStyle="1" w:styleId="103">
    <w:name w:val="正文文本缩进 字符"/>
    <w:link w:val="17"/>
    <w:semiHidden/>
    <w:qFormat/>
    <w:uiPriority w:val="99"/>
    <w:rPr>
      <w:sz w:val="22"/>
      <w:szCs w:val="22"/>
    </w:rPr>
  </w:style>
  <w:style w:type="character" w:customStyle="1" w:styleId="104">
    <w:name w:val="标题 8 字符"/>
    <w:link w:val="9"/>
    <w:semiHidden/>
    <w:qFormat/>
    <w:uiPriority w:val="9"/>
    <w:rPr>
      <w:rFonts w:ascii="Cambria" w:hAnsi="Cambria" w:eastAsia="宋体" w:cs="黑体"/>
      <w:sz w:val="24"/>
      <w:szCs w:val="24"/>
      <w:lang w:val="en-US" w:eastAsia="zh-CN"/>
    </w:rPr>
  </w:style>
  <w:style w:type="character" w:customStyle="1" w:styleId="105">
    <w:name w:val="short_text"/>
    <w:basedOn w:val="30"/>
    <w:qFormat/>
    <w:uiPriority w:val="0"/>
  </w:style>
  <w:style w:type="character" w:customStyle="1" w:styleId="106">
    <w:name w:val="页脚 字符"/>
    <w:link w:val="23"/>
    <w:qFormat/>
    <w:uiPriority w:val="99"/>
    <w:rPr>
      <w:sz w:val="18"/>
      <w:szCs w:val="18"/>
    </w:rPr>
  </w:style>
  <w:style w:type="character" w:customStyle="1" w:styleId="107">
    <w:name w:val="批注文字 字符"/>
    <w:basedOn w:val="30"/>
    <w:link w:val="15"/>
    <w:qFormat/>
    <w:uiPriority w:val="99"/>
  </w:style>
  <w:style w:type="character" w:customStyle="1" w:styleId="108">
    <w:name w:val="hps"/>
    <w:basedOn w:val="30"/>
    <w:qFormat/>
    <w:uiPriority w:val="0"/>
  </w:style>
  <w:style w:type="character" w:customStyle="1" w:styleId="109">
    <w:name w:val="z-窗体底端 Char"/>
    <w:link w:val="60"/>
    <w:semiHidden/>
    <w:qFormat/>
    <w:uiPriority w:val="99"/>
    <w:rPr>
      <w:rFonts w:ascii="Arial" w:hAnsi="Arial" w:cs="Arial"/>
      <w:vanish/>
      <w:sz w:val="16"/>
      <w:szCs w:val="16"/>
    </w:rPr>
  </w:style>
  <w:style w:type="character" w:customStyle="1" w:styleId="110">
    <w:name w:val="main text Char"/>
    <w:link w:val="81"/>
    <w:qFormat/>
    <w:uiPriority w:val="0"/>
    <w:rPr>
      <w:rFonts w:ascii="Times New Roman" w:hAnsi="Times New Roman" w:eastAsia="Malgun Gothic"/>
      <w:lang w:eastAsia="ko-KR"/>
    </w:rPr>
  </w:style>
  <w:style w:type="character" w:customStyle="1" w:styleId="111">
    <w:name w:val="keyword"/>
    <w:basedOn w:val="30"/>
    <w:qFormat/>
    <w:uiPriority w:val="0"/>
  </w:style>
  <w:style w:type="character" w:customStyle="1" w:styleId="112">
    <w:name w:val="文档结构图 字符"/>
    <w:link w:val="14"/>
    <w:qFormat/>
    <w:uiPriority w:val="0"/>
    <w:rPr>
      <w:rFonts w:ascii="宋体"/>
      <w:sz w:val="18"/>
      <w:szCs w:val="18"/>
    </w:rPr>
  </w:style>
  <w:style w:type="character" w:customStyle="1" w:styleId="113">
    <w:name w:val="Doc-text2 Char"/>
    <w:link w:val="57"/>
    <w:qFormat/>
    <w:uiPriority w:val="0"/>
    <w:rPr>
      <w:rFonts w:ascii="Arial" w:hAnsi="Arial" w:eastAsia="MS Mincho"/>
      <w:szCs w:val="24"/>
    </w:rPr>
  </w:style>
  <w:style w:type="paragraph" w:customStyle="1" w:styleId="114">
    <w:name w:val="Style1"/>
    <w:basedOn w:val="1"/>
    <w:qFormat/>
    <w:uiPriority w:val="0"/>
    <w:pPr>
      <w:adjustRightInd w:val="0"/>
      <w:spacing w:before="30" w:beforeLines="30" w:beforeAutospacing="0" w:after="100" w:afterLines="30" w:afterAutospacing="1" w:line="300" w:lineRule="auto"/>
      <w:ind w:firstLine="360"/>
      <w:contextualSpacing/>
      <w:jc w:val="both"/>
    </w:pPr>
    <w:rPr>
      <w:rFonts w:eastAsia="宋体"/>
      <w:szCs w:val="20"/>
    </w:rPr>
  </w:style>
  <w:style w:type="paragraph" w:customStyle="1" w:styleId="115">
    <w:name w:val="样式 正文缩进d + 首行缩进:  2 字符 段前: 0.35 行"/>
    <w:basedOn w:val="12"/>
    <w:qFormat/>
    <w:uiPriority w:val="0"/>
    <w:pPr>
      <w:spacing w:beforeLines="35" w:line="460" w:lineRule="exact"/>
      <w:ind w:firstLine="560"/>
    </w:pPr>
    <w:rPr>
      <w:rFonts w:cs="宋体"/>
    </w:rPr>
  </w:style>
  <w:style w:type="paragraph" w:customStyle="1" w:styleId="116">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7">
    <w:name w:val="TAC Char"/>
    <w:link w:val="46"/>
    <w:qFormat/>
    <w:uiPriority w:val="0"/>
    <w:rPr>
      <w:rFonts w:ascii="Arial" w:hAnsi="Arial" w:eastAsia="Times New Roman" w:cs="Times New Roman"/>
      <w:sz w:val="18"/>
      <w:lang w:eastAsia="en-US"/>
    </w:rPr>
  </w:style>
  <w:style w:type="character" w:customStyle="1" w:styleId="118">
    <w:name w:val="TAH Car"/>
    <w:link w:val="45"/>
    <w:qFormat/>
    <w:uiPriority w:val="0"/>
    <w:rPr>
      <w:rFonts w:ascii="Arial" w:hAnsi="Arial" w:eastAsia="Times New Roman" w:cs="Times New Roman"/>
      <w:b/>
      <w:sz w:val="18"/>
      <w:lang w:eastAsia="en-US"/>
    </w:rPr>
  </w:style>
  <w:style w:type="character" w:customStyle="1" w:styleId="119">
    <w:name w:val="列表段落 字符2"/>
    <w:link w:val="52"/>
    <w:qFormat/>
    <w:locked/>
    <w:uiPriority w:val="34"/>
    <w:rPr>
      <w:rFonts w:ascii="Times" w:hAnsi="Times" w:eastAsia="Batang" w:cs="Times New Roman"/>
      <w:szCs w:val="24"/>
      <w:lang w:val="en-GB"/>
    </w:rPr>
  </w:style>
  <w:style w:type="paragraph" w:customStyle="1" w:styleId="120">
    <w:name w:val="References"/>
    <w:basedOn w:val="1"/>
    <w:qFormat/>
    <w:uiPriority w:val="0"/>
    <w:pPr>
      <w:numPr>
        <w:ilvl w:val="0"/>
        <w:numId w:val="5"/>
      </w:numPr>
      <w:adjustRightInd w:val="0"/>
      <w:spacing w:before="30" w:beforeLines="30" w:beforeAutospacing="0" w:after="60" w:afterLines="30" w:line="264" w:lineRule="auto"/>
      <w:jc w:val="both"/>
    </w:pPr>
    <w:rPr>
      <w:szCs w:val="16"/>
    </w:rPr>
  </w:style>
  <w:style w:type="paragraph" w:customStyle="1" w:styleId="121">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2">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3">
    <w:name w:val="paragraph"/>
    <w:basedOn w:val="1"/>
    <w:qFormat/>
    <w:uiPriority w:val="99"/>
    <w:pPr>
      <w:adjustRightInd w:val="0"/>
      <w:spacing w:beforeLines="30" w:after="100" w:afterLines="30" w:afterAutospacing="1" w:line="264" w:lineRule="auto"/>
      <w:jc w:val="both"/>
    </w:pPr>
    <w:rPr>
      <w:szCs w:val="22"/>
      <w:lang w:val="sv-SE"/>
    </w:rPr>
  </w:style>
  <w:style w:type="paragraph" w:customStyle="1" w:styleId="124">
    <w:name w:val="tal"/>
    <w:basedOn w:val="1"/>
    <w:qFormat/>
    <w:uiPriority w:val="0"/>
    <w:pPr>
      <w:keepNext/>
      <w:adjustRightInd w:val="0"/>
      <w:spacing w:before="30" w:beforeLines="30" w:beforeAutospacing="0" w:after="0" w:afterLines="30"/>
      <w:jc w:val="both"/>
    </w:pPr>
    <w:rPr>
      <w:rFonts w:ascii="Arial" w:hAnsi="Arial" w:eastAsia="Gulim" w:cs="Arial"/>
      <w:sz w:val="18"/>
      <w:szCs w:val="18"/>
      <w:lang w:eastAsia="ko-KR"/>
    </w:rPr>
  </w:style>
  <w:style w:type="paragraph" w:styleId="125">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6">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7">
    <w:name w:val="列表段落 字符1"/>
    <w:basedOn w:val="30"/>
    <w:link w:val="128"/>
    <w:qFormat/>
    <w:uiPriority w:val="0"/>
    <w:rPr>
      <w:rFonts w:hint="default" w:ascii="Times" w:hAnsi="Times" w:eastAsia="Batang" w:cs="Times"/>
      <w:szCs w:val="24"/>
      <w:lang w:val="en-US"/>
    </w:rPr>
  </w:style>
  <w:style w:type="paragraph" w:customStyle="1" w:styleId="128">
    <w:name w:val="列表段落1"/>
    <w:basedOn w:val="1"/>
    <w:link w:val="127"/>
    <w:qFormat/>
    <w:uiPriority w:val="0"/>
    <w:pPr>
      <w:adjustRightInd w:val="0"/>
      <w:spacing w:beforeLines="30" w:beforeAutospacing="0" w:after="0" w:afterLines="30" w:line="264" w:lineRule="auto"/>
      <w:ind w:left="840" w:leftChars="400"/>
    </w:pPr>
    <w:rPr>
      <w:rFonts w:ascii="Times" w:hAnsi="Times" w:eastAsia="Batang"/>
    </w:rPr>
  </w:style>
  <w:style w:type="paragraph" w:customStyle="1" w:styleId="129">
    <w:name w:val="列表段落11"/>
    <w:basedOn w:val="1"/>
    <w:qFormat/>
    <w:uiPriority w:val="0"/>
    <w:pPr>
      <w:adjustRightInd w:val="0"/>
      <w:spacing w:beforeLines="30" w:beforeAutospacing="0" w:after="0" w:afterLines="30" w:line="264" w:lineRule="auto"/>
      <w:ind w:left="840" w:leftChars="400"/>
    </w:pPr>
    <w:rPr>
      <w:rFonts w:ascii="Times" w:hAnsi="Times" w:eastAsia="Batang"/>
    </w:rPr>
  </w:style>
  <w:style w:type="character" w:customStyle="1" w:styleId="130">
    <w:name w:val="列表段落 字符"/>
    <w:basedOn w:val="30"/>
    <w:qFormat/>
    <w:uiPriority w:val="0"/>
    <w:rPr>
      <w:lang w:val="en-US" w:eastAsia="ko"/>
    </w:rPr>
  </w:style>
  <w:style w:type="paragraph" w:customStyle="1" w:styleId="131">
    <w:name w:val="List Paragraph8"/>
    <w:basedOn w:val="1"/>
    <w:qFormat/>
    <w:uiPriority w:val="0"/>
    <w:pPr>
      <w:widowControl w:val="0"/>
      <w:spacing w:after="100" w:afterAutospacing="1"/>
      <w:ind w:left="800"/>
      <w:jc w:val="both"/>
    </w:pPr>
    <w:rPr>
      <w:rFonts w:eastAsia="Malgun Gothic"/>
      <w:kern w:val="2"/>
      <w:sz w:val="21"/>
      <w:szCs w:val="21"/>
    </w:rPr>
  </w:style>
  <w:style w:type="paragraph" w:customStyle="1" w:styleId="132">
    <w:name w:val="Revision"/>
    <w:hidden/>
    <w:unhideWhenUsed/>
    <w:qFormat/>
    <w:uiPriority w:val="99"/>
    <w:rPr>
      <w:rFonts w:ascii="Times New Roman" w:hAnsi="Times New Roman" w:eastAsia="Times New Roman" w:cs="Times New Roman"/>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png"/><Relationship Id="rId14" Type="http://schemas.openxmlformats.org/officeDocument/2006/relationships/image" Target="media/image4.wmf"/><Relationship Id="rId13" Type="http://schemas.openxmlformats.org/officeDocument/2006/relationships/image" Target="media/image3.wmf"/><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7100CC-A6A7-458A-8090-3FCFDD26C11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3454</Words>
  <Characters>19694</Characters>
  <Lines>164</Lines>
  <Paragraphs>46</Paragraphs>
  <TotalTime>19</TotalTime>
  <ScaleCrop>false</ScaleCrop>
  <LinksUpToDate>false</LinksUpToDate>
  <CharactersWithSpaces>23102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2024-08-09T06:55:00Z</dcterms:created>
  <dc:creator>ZTE</dc:creator>
  <cp:lastModifiedBy>Yang</cp:lastModifiedBy>
  <dcterms:modified xsi:type="dcterms:W3CDTF">2024-09-29T06:30:44Z</dcterms:modified>
  <dc:title>Full Tx Power</dc:title>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E9130720086240608A43B18666C01AD3</vt:lpwstr>
  </property>
</Properties>
</file>